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verSmall"/>
        <w:jc w:val="left"/>
      </w:pPr>
      <w:r>
        <w:t>OSNOVNA ŠKOLA BENKOVAC</w:t>
      </w:r>
    </w:p>
    <w:p>
      <w:pPr>
        <w:pStyle w:val="CoverSmall"/>
        <w:jc w:val="left"/>
      </w:pPr>
      <w:r>
        <w:t>ANTUNA MIHANOVIĆA 21B</w:t>
      </w:r>
    </w:p>
    <w:p>
      <w:pPr>
        <w:pStyle w:val="CoverSmall"/>
        <w:jc w:val="left"/>
      </w:pPr>
      <w:r>
        <w:t>23420 BENKOVAC</w:t>
      </w:r>
    </w:p>
    <w:p>
      <w:pPr>
        <w:pStyle w:val="CoverSmall"/>
        <w:jc w:val="left"/>
      </w:pPr>
      <w:r>
        <w:t>OIB: 73294343358</w:t>
      </w:r>
    </w:p>
    <w:p>
      <w:pPr>
        <w:pStyle w:val="CoverSmall"/>
        <w:jc w:val="left"/>
      </w:pPr>
      <w:r>
        <w:t>Šifra djelatnosti:</w:t>
      </w:r>
    </w:p>
    <w:p>
      <w:pPr>
        <w:pStyle w:val="CoverSmall"/>
        <w:jc w:val="left"/>
      </w:pPr>
      <w:r>
        <w:t>8520 Osnovno obrazovanje</w:t>
      </w:r>
    </w:p>
    <w:p/>
    <w:p/>
    <w:p/>
    <w:p/>
    <w:p/>
    <w:p/>
    <w:p/>
    <w:p/>
    <w:p/>
    <w:p>
      <w:pPr>
        <w:spacing w:after="240"/>
        <w:jc w:val="center"/>
      </w:pPr>
      <w:r>
        <w:rPr>
          <w:rFonts w:ascii="Arial" w:hAnsi="Arial"/>
          <w:b/>
          <w:sz w:val="32"/>
        </w:rPr>
        <w:t>POLUGODIŠNJI IZVJEŠTAJ O IZVRŠENJU FINANCIJSKOG PLANA</w:t>
      </w:r>
    </w:p>
    <w:p>
      <w:pPr>
        <w:spacing w:after="240"/>
        <w:jc w:val="center"/>
      </w:pPr>
      <w:r>
        <w:rPr>
          <w:rFonts w:ascii="Arial" w:hAnsi="Arial"/>
          <w:b/>
          <w:sz w:val="32"/>
        </w:rPr>
        <w:t>OSNOVNE ŠKOLE BENKOVAC</w:t>
      </w:r>
    </w:p>
    <w:p>
      <w:pPr>
        <w:jc w:val="center"/>
      </w:pPr>
      <w:r>
        <w:rPr>
          <w:rFonts w:ascii="Arial" w:hAnsi="Arial"/>
          <w:b/>
          <w:sz w:val="30"/>
        </w:rPr>
        <w:t>01.01. – 30.06.2026. GODINE</w:t>
      </w:r>
    </w:p>
    <w:p/>
    <w:p/>
    <w:p/>
    <w:p/>
    <w:p/>
    <w:p/>
    <w:p/>
    <w:p/>
    <w:p/>
    <w:p/>
    <w:p/>
    <w:p/>
    <w:p/>
    <w:p>
      <w:pPr>
        <w:jc w:val="center"/>
      </w:pPr>
      <w:r>
        <w:rPr>
          <w:sz w:val="24"/>
        </w:rPr>
        <w:t>Benkovac, srpanj 2026. godine</w:t>
      </w:r>
    </w:p>
    <w:p>
      <w:r>
        <w:br w:type="page"/>
      </w:r>
    </w:p>
    <w:p>
      <w:pPr>
        <w:spacing w:after="120" w:line="276" w:lineRule="auto"/>
        <w:ind w:firstLine="340"/>
        <w:jc w:val="both"/>
      </w:pPr>
      <w:r>
        <w:t>Polugodišnji izvještaj o izvršenju Financijskog plana Osnovne škole Benkovac za razdoblje od 1. siječnja do 30. lipnja 2026. godine sastavljen je prema odredbama Zakona o proračunu (Narodne novine broj 144/21) i Pravilnika o polugodišnjem i godišnjem izvještaju o izvršenju proračuna i financijskog plana (Narodne novine broj 85/23). Škola u izvještajnom razdoblju nije imala primitke od financijske imovine i zaduživanja niti izdatke za financijsku imovinu i otplate zajmova, pa navedene stavke nisu predmet ovog izvještaja.</w:t>
      </w:r>
    </w:p>
    <w:p>
      <w:pPr>
        <w:pStyle w:val="Heading1"/>
      </w:pPr>
      <w:r>
        <w:rPr>
          <w:b/>
          <w:sz w:val="26"/>
        </w:rPr>
        <w:t>SADRŽAJ I OBUHVAT ISKAZIVANJA PODATAKA</w:t>
      </w:r>
    </w:p>
    <w:p>
      <w:pPr>
        <w:spacing w:after="120" w:line="276" w:lineRule="auto"/>
        <w:jc w:val="both"/>
      </w:pPr>
      <w:r>
        <w:t>Polugodišnji izvještaj o izvršenju Financijskog plana za 2026. godinu obuhvaća:</w:t>
      </w:r>
    </w:p>
    <w:p>
      <w:pPr>
        <w:pStyle w:val="ListNumber"/>
        <w:spacing w:after="60"/>
        <w:ind w:left="397" w:hanging="198"/>
      </w:pPr>
      <w:r>
        <w:t>Opći dio izvještaja o izvršenju financijskog plana</w:t>
      </w:r>
    </w:p>
    <w:p>
      <w:pPr>
        <w:pStyle w:val="ListNumber"/>
        <w:spacing w:after="60"/>
        <w:ind w:left="397" w:hanging="198"/>
      </w:pPr>
      <w:r>
        <w:t>Posebni dio izvještaja o izvršenju financijskog plana</w:t>
      </w:r>
    </w:p>
    <w:p>
      <w:pPr>
        <w:pStyle w:val="ListNumber"/>
        <w:spacing w:after="60"/>
        <w:ind w:left="397" w:hanging="198"/>
      </w:pPr>
      <w:r>
        <w:t>Obrazloženje izvještaja o izvršenju financijskog plana</w:t>
      </w:r>
    </w:p>
    <w:p>
      <w:pPr>
        <w:pStyle w:val="ListNumber"/>
        <w:spacing w:after="60"/>
        <w:ind w:left="397" w:hanging="198"/>
      </w:pPr>
      <w:r>
        <w:t>Posebne izvještaje</w:t>
      </w:r>
    </w:p>
    <w:p>
      <w:pPr>
        <w:pStyle w:val="Heading1"/>
      </w:pPr>
      <w:r>
        <w:rPr>
          <w:b/>
          <w:sz w:val="26"/>
        </w:rPr>
        <w:t>UVOD</w:t>
      </w:r>
    </w:p>
    <w:p>
      <w:pPr>
        <w:spacing w:after="120" w:line="276" w:lineRule="auto"/>
        <w:ind w:firstLine="340"/>
        <w:jc w:val="both"/>
      </w:pPr>
      <w:r>
        <w:t>Osnovna škola Benkovac dužna je izraditi Financijski plan i dostaviti ga Školskom odboru na usvajanje. Financijski plan za 2026. godinu izrađen je u skladu sa Zakonom o proračunu i uputama proračunskim korisnicima Zadarske županije. Financijskim planom osiguravaju se sredstva za provedbu redovne djelatnosti škole, administraciju i upravljanje, prehranu učenika, programe iznad standarda, pomoćnike u nastavi, održavanje te ulaganja u školsku imovinu.</w:t>
      </w:r>
    </w:p>
    <w:p>
      <w:pPr>
        <w:spacing w:after="120" w:line="276" w:lineRule="auto"/>
        <w:ind w:firstLine="340"/>
        <w:jc w:val="both"/>
      </w:pPr>
      <w:r>
        <w:t>U priloženim tablicama izvorni i tekući plan za 2026. godinu iskazani su u jednakom iznosu od 3.796.494,56 eura. U nastavku se daje obrazloženje ostvarenja prihoda, izvršenja rashoda, izvora financiranja, programskih aktivnosti, ukupnog manjka i stanja obveza na dan 30. lipnja 2026. godine.</w:t>
      </w:r>
    </w:p>
    <w:p>
      <w:pPr>
        <w:pStyle w:val="Heading1"/>
      </w:pPr>
      <w:r>
        <w:rPr>
          <w:b/>
          <w:sz w:val="26"/>
        </w:rPr>
        <w:t>SADRŽAJ IZVJEŠTAJA O IZVRŠENJU FINANCIJSKOG PLANA</w:t>
      </w:r>
    </w:p>
    <w:p>
      <w:pPr>
        <w:pStyle w:val="ListBullet"/>
        <w:spacing w:after="60"/>
        <w:ind w:left="397" w:hanging="198"/>
      </w:pPr>
      <w:r>
        <w:t>OPĆI DIO – sažetak općeg dijela, ekonomska klasifikacija, izvori financiranja i funkcijska klasifikacija</w:t>
      </w:r>
    </w:p>
    <w:p>
      <w:pPr>
        <w:pStyle w:val="ListBullet"/>
        <w:spacing w:after="60"/>
        <w:ind w:left="397" w:hanging="198"/>
      </w:pPr>
      <w:r>
        <w:t>POSEBNI DIO – izvršenje rashoda po programskoj klasifikaciji i izvorima financiranja</w:t>
      </w:r>
    </w:p>
    <w:p>
      <w:pPr>
        <w:pStyle w:val="ListBullet"/>
        <w:spacing w:after="60"/>
        <w:ind w:left="397" w:hanging="198"/>
      </w:pPr>
      <w:r>
        <w:t>OBRAZLOŽENJE – obrazloženje ostvarenja prihoda i izvršenja rashoda u odnosu na prethodno razdoblje i plan</w:t>
      </w:r>
    </w:p>
    <w:p>
      <w:pPr>
        <w:pStyle w:val="ListBullet"/>
        <w:spacing w:after="60"/>
        <w:ind w:left="397" w:hanging="198"/>
      </w:pPr>
      <w:r>
        <w:t>POSEBNI IZVJEŠTAJI – zaduživanje, jamstva i korištenje proračunske zalihe</w:t>
      </w:r>
    </w:p>
    <w:p>
      <w:pPr>
        <w:spacing w:after="120" w:line="276" w:lineRule="auto"/>
        <w:ind w:firstLine="340"/>
        <w:jc w:val="both"/>
      </w:pPr>
      <w:r>
        <w:t>Sastavni dio ovog izvještaja su priložene tablice: sažetak općeg dijela, prihodi i rashodi prema ekonomskoj klasifikaciji, prihodi i rashodi prema izvorima financiranja, rashodi prema funkcijskoj klasifikaciji te izvršenje rashoda prema programskoj klasifikaciji.</w:t>
      </w:r>
    </w:p>
    <w:p>
      <w:r>
        <w:br w:type="page"/>
      </w:r>
    </w:p>
    <w:p>
      <w:pPr>
        <w:pStyle w:val="Heading1"/>
      </w:pPr>
      <w:r>
        <w:rPr>
          <w:b/>
          <w:sz w:val="26"/>
        </w:rPr>
        <w:t>3. OBRAZLOŽENJE OPĆEG DIJELA FINANCIJSKOG PLANA</w:t>
      </w:r>
    </w:p>
    <w:p>
      <w:pPr>
        <w:spacing w:after="120" w:line="276" w:lineRule="auto"/>
        <w:ind w:firstLine="340"/>
        <w:jc w:val="both"/>
      </w:pPr>
      <w:r>
        <w:t>U razdoblju od 1. siječnja do 30. lipnja 2026. godine ostvareni su prihodi poslovanja u iznosu od 1.979.176,37 eura. Ostvarenje prihoda čini 52,13 % godišnjeg plana prihoda i 110,41 % ostvarenja u istom razdoblju prethodne godine.</w:t>
      </w:r>
    </w:p>
    <w:p>
      <w:pPr>
        <w:spacing w:after="120" w:line="276" w:lineRule="auto"/>
        <w:ind w:firstLine="340"/>
        <w:jc w:val="both"/>
      </w:pPr>
      <w:r>
        <w:t>Ukupni rashodi iznose 2.077.309,83 eura, odnosno 54,72 % godišnjeg plana i 112,73 % izvršenja u istom razdoblju 2025. godine. Nakon uključivanja prenesenog rezultata, ukupan manjak prihoda i primitaka za pokriće u sljedećem razdoblju iznosi 444.183,88 eura. Struktura manjka posebno je obrazložena u nastavku.</w:t>
      </w:r>
    </w:p>
    <w:p>
      <w:pPr>
        <w:pStyle w:val="Heading2"/>
      </w:pPr>
      <w:r>
        <w:rPr>
          <w:b/>
          <w:sz w:val="23"/>
          <w:u w:val="single"/>
        </w:rPr>
        <w:t>Obrazloženje ostvarenih prihoda prema ekonomskoj klasifikaciji</w:t>
      </w:r>
    </w:p>
    <w:p>
      <w:pPr>
        <w:spacing w:after="120" w:line="276" w:lineRule="auto"/>
        <w:jc w:val="both"/>
      </w:pPr>
      <w:r>
        <w:t>Tablica prihoda prema ekonomskoj klasifikaciji nalazi se u prilogu ovog obrazloženja.</w:t>
      </w:r>
    </w:p>
    <w:p>
      <w:pPr>
        <w:pStyle w:val="Heading2"/>
      </w:pPr>
      <w:r>
        <w:rPr>
          <w:b/>
          <w:sz w:val="23"/>
          <w:u w:val="single"/>
        </w:rPr>
        <w:t>63 Pomoći iz inozemstva i od subjekata unutar općeg proračuna</w:t>
      </w:r>
    </w:p>
    <w:p>
      <w:pPr>
        <w:spacing w:after="120" w:line="276" w:lineRule="auto"/>
        <w:ind w:firstLine="340"/>
        <w:jc w:val="both"/>
      </w:pPr>
      <w:r>
        <w:t>Prihodi skupine 63 ostvareni su u iznosu od 1.514.111,19 eura, što čini 49,62 % planiranog iznosa. Najveći dio odnosi se na sredstva MZO-a. Prihod za plaće zaposlenih iznosi 1.421.885,32 eura i evidentiran je u okviru aktivnosti A2202-04 Administracija i upravljanje. Prihodi za prehranu učenika iznose 71.270,71 eura, prihodi za zalihe menstrualnih higijenskih potrepština 1.246,50 eura, dok ostale tekuće pomoći MZO-a iznose 4.605,40 eura. Prihodi Grada Benkovca i ostalih pomoći iznose 14.609,42 eura.</w:t>
      </w:r>
    </w:p>
    <w:p>
      <w:pPr>
        <w:pStyle w:val="Heading2"/>
      </w:pPr>
      <w:r>
        <w:rPr>
          <w:b/>
          <w:sz w:val="23"/>
          <w:u w:val="single"/>
        </w:rPr>
        <w:t>65 Prihodi po posebnim propisima</w:t>
      </w:r>
    </w:p>
    <w:p>
      <w:pPr>
        <w:spacing w:after="120" w:line="276" w:lineRule="auto"/>
        <w:ind w:firstLine="340"/>
        <w:jc w:val="both"/>
      </w:pPr>
      <w:r>
        <w:t>Prihodi po posebnim propisima ostvareni su u iznosu od 5.394,22 eura, odnosno 25,93 % godišnjeg plana i 51,97 % ostvarenja u istom razdoblju prethodne godine. Odnose se na namjenske prihode povezane s redovnom djelatnošću škole i programima za učenike.</w:t>
      </w:r>
    </w:p>
    <w:p>
      <w:pPr>
        <w:pStyle w:val="Heading2"/>
      </w:pPr>
      <w:r>
        <w:rPr>
          <w:b/>
          <w:sz w:val="23"/>
          <w:u w:val="single"/>
        </w:rPr>
        <w:t>66 Prihodi od prodaje proizvoda i robe te pruženih usluga</w:t>
      </w:r>
    </w:p>
    <w:p>
      <w:pPr>
        <w:spacing w:after="120" w:line="276" w:lineRule="auto"/>
        <w:ind w:firstLine="340"/>
        <w:jc w:val="both"/>
      </w:pPr>
      <w:r>
        <w:t>Prihodi od pruženih usluga ostvareni su u iznosu od 8.845,78 eura, što predstavlja 41,73 % planiranog iznosa i 99,68 % ostvarenja prethodne godine. Prihodi se najvećim dijelom odnose na najam školskih prostora i druge usluge koje škola pruža.</w:t>
      </w:r>
    </w:p>
    <w:p>
      <w:pPr>
        <w:pStyle w:val="Heading2"/>
      </w:pPr>
      <w:r>
        <w:rPr>
          <w:b/>
          <w:sz w:val="23"/>
          <w:u w:val="single"/>
        </w:rPr>
        <w:t>67 Prihodi iz nadležnog proračuna</w:t>
      </w:r>
    </w:p>
    <w:p>
      <w:pPr>
        <w:spacing w:after="120" w:line="276" w:lineRule="auto"/>
        <w:ind w:firstLine="340"/>
        <w:jc w:val="both"/>
      </w:pPr>
      <w:r>
        <w:t>Prihodi iz nadležnog proračuna ostvareni su u iznosu od 450.825,18 eura, odnosno 77,28 % plana. Od toga se 444.150,18 eura odnosi na financiranje rashoda poslovanja, a 6.675,00 eura na financiranje nabave nefinancijske imovine. Zadarska županija kao osnivač financira materijalne rashode nužne za realizaciju nastavnog plana i programa, decentralizirane funkcije, dio programa iznad standarda i program pomoćnika u nastavi.</w:t>
      </w:r>
    </w:p>
    <w:p>
      <w:r>
        <w:br w:type="page"/>
      </w:r>
    </w:p>
    <w:p>
      <w:pPr>
        <w:pStyle w:val="Heading2"/>
      </w:pPr>
      <w:r>
        <w:rPr>
          <w:b/>
          <w:sz w:val="23"/>
          <w:u w:val="single"/>
        </w:rPr>
        <w:t>Obrazloženje izvršenih rashoda prema ekonomskoj klasifikaciji</w:t>
      </w:r>
    </w:p>
    <w:p>
      <w:pPr>
        <w:spacing w:after="120" w:line="276" w:lineRule="auto"/>
        <w:jc w:val="both"/>
      </w:pPr>
      <w:r>
        <w:t>Tablica rashoda prema ekonomskoj klasifikaciji nalazi se u prilogu ovog obrazloženja.</w:t>
      </w:r>
    </w:p>
    <w:p>
      <w:pPr>
        <w:pStyle w:val="Heading2"/>
      </w:pPr>
      <w:r>
        <w:rPr>
          <w:b/>
          <w:sz w:val="23"/>
          <w:u w:val="single"/>
        </w:rPr>
        <w:t>31 Rashodi za zaposlene</w:t>
      </w:r>
    </w:p>
    <w:p>
      <w:pPr>
        <w:spacing w:after="120" w:line="276" w:lineRule="auto"/>
        <w:ind w:firstLine="340"/>
        <w:jc w:val="both"/>
      </w:pPr>
      <w:r>
        <w:t>Rashodi za zaposlene izvršeni su u iznosu od 1.441.272,30 eura, odnosno 51,60 % godišnjeg plana i 107,68 % izvršenja u istom razdoblju prethodne godine. Najveći dio odnosi se na plaće zaposlenih, doprinose na plaće i ostala materijalna prava. Ova skupina rashoda predstavlja najveći udio u ukupnim rashodima škole.</w:t>
      </w:r>
    </w:p>
    <w:p>
      <w:pPr>
        <w:pStyle w:val="Heading2"/>
      </w:pPr>
      <w:r>
        <w:rPr>
          <w:b/>
          <w:sz w:val="23"/>
          <w:u w:val="single"/>
        </w:rPr>
        <w:t>32 Materijalni rashodi</w:t>
      </w:r>
    </w:p>
    <w:p>
      <w:pPr>
        <w:spacing w:after="120" w:line="276" w:lineRule="auto"/>
        <w:ind w:firstLine="340"/>
        <w:jc w:val="both"/>
      </w:pPr>
      <w:r>
        <w:t>Materijalni rashodi izvršeni su u iznosu od 522.618,13 eura, što čini 66,48 % plana i 111,55 % izvršenja iz istog razdoblja 2025. godine. U ovu skupinu uključene su naknade troškova zaposlenima, materijal i energija, usluge i ostali nespomenuti rashodi poslovanja.</w:t>
      </w:r>
    </w:p>
    <w:p>
      <w:pPr>
        <w:pStyle w:val="Heading2"/>
      </w:pPr>
      <w:r>
        <w:rPr>
          <w:b/>
          <w:sz w:val="23"/>
          <w:u w:val="single"/>
        </w:rPr>
        <w:t>321 Naknade troškova zaposlenima</w:t>
      </w:r>
    </w:p>
    <w:p>
      <w:pPr>
        <w:spacing w:after="120" w:line="276" w:lineRule="auto"/>
        <w:ind w:firstLine="340"/>
        <w:jc w:val="both"/>
      </w:pPr>
      <w:r>
        <w:t>Naknade troškova zaposlenima iznose 79.591,88 eura, odnosno 52,12 % godišnjeg plana i 91,76 % izvršenja prethodne godine. Najveći dio odnosi se na prijevoz zaposlenika na posao i s posla, dok se preostali dio odnosi na službena putovanja, stručno usavršavanje i ostale naknade troškova.</w:t>
      </w:r>
    </w:p>
    <w:p>
      <w:pPr>
        <w:pStyle w:val="Heading2"/>
      </w:pPr>
      <w:r>
        <w:rPr>
          <w:b/>
          <w:sz w:val="23"/>
          <w:u w:val="single"/>
        </w:rPr>
        <w:t>322 Rashodi za materijal i energiju</w:t>
      </w:r>
    </w:p>
    <w:p>
      <w:pPr>
        <w:spacing w:after="120" w:line="276" w:lineRule="auto"/>
        <w:ind w:firstLine="340"/>
        <w:jc w:val="both"/>
      </w:pPr>
      <w:r>
        <w:t>Rashodi za materijal i energiju iznose 123.681,69 eura, što predstavlja 69,14 % godišnjeg plana. U odnosu na isto razdoblje prethodne godine izvršenje je gotovo ujednačeno i iznosi 100,40 %. Rashodi obuhvaćaju uredski i higijenski materijal, namirnice, električnu energiju, gorivo, materijal za održavanje, sitni inventar te radnu i zaštitnu odjeću.</w:t>
      </w:r>
    </w:p>
    <w:p>
      <w:pPr>
        <w:pStyle w:val="Heading2"/>
      </w:pPr>
      <w:r>
        <w:rPr>
          <w:b/>
          <w:sz w:val="23"/>
          <w:u w:val="single"/>
        </w:rPr>
        <w:t>323 Rashodi za usluge</w:t>
      </w:r>
    </w:p>
    <w:p>
      <w:pPr>
        <w:spacing w:after="120" w:line="276" w:lineRule="auto"/>
        <w:ind w:firstLine="340"/>
        <w:jc w:val="both"/>
      </w:pPr>
      <w:r>
        <w:t>Rashodi za usluge ostvareni su u iznosu od 313.760,98 eura, odnosno 71,14 % plana i 123,85 % izvršenja u istom razdoblju prethodne godine. Najveći dio usluga odnosi se na najam i prijevoz učenika u iznosu od 274.848,21 eura, što čini 87,60 % ukupnih rashoda za usluge. Ostali rashodi obuhvaćaju komunalne usluge, održavanje, računalne, intelektualne i druge usluge potrebne za redovno poslovanje škole.</w:t>
      </w:r>
    </w:p>
    <w:p>
      <w:pPr>
        <w:pStyle w:val="Heading2"/>
      </w:pPr>
      <w:r>
        <w:rPr>
          <w:b/>
          <w:sz w:val="23"/>
          <w:u w:val="single"/>
        </w:rPr>
        <w:t>329 Ostali nespomenuti rashodi poslovanja</w:t>
      </w:r>
    </w:p>
    <w:p>
      <w:pPr>
        <w:spacing w:after="120" w:line="276" w:lineRule="auto"/>
        <w:ind w:firstLine="340"/>
        <w:jc w:val="both"/>
      </w:pPr>
      <w:r>
        <w:t>Ostali nespomenuti rashodi poslovanja iznose 5.583,58 eura, odnosno 41,23 % godišnjeg plana. U ovu skupinu uključene su naknade povjerenstvima, premije osiguranja, reprezentacija, članarine te pristojbe i naknade.</w:t>
      </w:r>
    </w:p>
    <w:p>
      <w:pPr>
        <w:pStyle w:val="Heading2"/>
      </w:pPr>
      <w:r>
        <w:rPr>
          <w:b/>
          <w:sz w:val="23"/>
          <w:u w:val="single"/>
        </w:rPr>
        <w:t>34 Financijski rashodi</w:t>
      </w:r>
    </w:p>
    <w:p>
      <w:pPr>
        <w:spacing w:after="120" w:line="276" w:lineRule="auto"/>
        <w:ind w:firstLine="340"/>
        <w:jc w:val="both"/>
      </w:pPr>
      <w:r>
        <w:t>Financijski rashodi iznose 179,20 eura i odnose se na bankarske usluge i usluge platnog prometa. Izvršenje čini 25,60 % godišnjeg plana.</w:t>
      </w:r>
    </w:p>
    <w:p>
      <w:pPr>
        <w:pStyle w:val="Heading2"/>
      </w:pPr>
      <w:r>
        <w:rPr>
          <w:b/>
          <w:sz w:val="23"/>
          <w:u w:val="single"/>
        </w:rPr>
        <w:t>37 Naknade građanima i kućanstvima</w:t>
      </w:r>
    </w:p>
    <w:p>
      <w:pPr>
        <w:spacing w:after="120" w:line="276" w:lineRule="auto"/>
        <w:ind w:firstLine="340"/>
        <w:jc w:val="both"/>
      </w:pPr>
      <w:r>
        <w:t>Rashodi za naknade građanima i kućanstvima iznose 4.590,56 eura, odnosno 8,27 % plana. Odnose se na naknade učenicima i kućanstvima u novcu i naravi, uključujući sufinanciranje prijevoza i druge oblike potpore povezane s provedbom školskih programa.</w:t>
      </w:r>
    </w:p>
    <w:p>
      <w:pPr>
        <w:pStyle w:val="Heading2"/>
      </w:pPr>
      <w:r>
        <w:rPr>
          <w:b/>
          <w:sz w:val="23"/>
          <w:u w:val="single"/>
        </w:rPr>
        <w:t>4 Rashodi za nabavu nefinancijske imovine</w:t>
      </w:r>
    </w:p>
    <w:p>
      <w:pPr>
        <w:spacing w:after="120" w:line="276" w:lineRule="auto"/>
        <w:ind w:firstLine="340"/>
        <w:jc w:val="both"/>
      </w:pPr>
      <w:r>
        <w:t>Rashodi za nabavu nefinancijske imovine izvršeni su u iznosu od 108.649,64 eura, odnosno 67,96 % godišnjeg plana. Od ukupnog iznosa 15.317,16 eura odnosi se na postrojenja, opremu i ostalu proizvedenu imovinu, 3.125,00 eura na ostalu nematerijalnu proizvedenu imovinu, a 93.332,48 eura na dodatna ulaganja u građevinske objekte. Građevinski radovi čine značajan dio ukupnog manjka te su posebno obrazloženi u dijelu izvještaja o rezultatu poslovanja.</w:t>
      </w:r>
    </w:p>
    <w:p>
      <w:pPr>
        <w:pStyle w:val="Heading1"/>
      </w:pPr>
      <w:r>
        <w:rPr>
          <w:b/>
          <w:sz w:val="26"/>
        </w:rPr>
        <w:t>PRIHODI I RASHODI PREMA IZVORIMA FINANCIRANJA</w:t>
      </w:r>
    </w:p>
    <w:p>
      <w:pPr>
        <w:spacing w:after="120" w:line="276" w:lineRule="auto"/>
        <w:ind w:firstLine="340"/>
        <w:jc w:val="both"/>
      </w:pPr>
      <w:r>
        <w:t>Prihodi i rashodi razvrstani su prema izvorima financiranja. Prihodi su iskazani prema njihovom ostvarenju i raspoloživosti u sustavu riznice, dok rashodi uključuju obveze nastale u izvještajnom razdoblju, neovisno o tome jesu li do 30. lipnja u cijelosti podmirene. Zbog vremenskog odmaka između nastanka rashoda i raspoloživosti pripadajućih prihoda nastaje metodološki dio manjka.</w:t>
      </w:r>
    </w:p>
    <w:p>
      <w:pPr>
        <w:pStyle w:val="ListBullet"/>
        <w:spacing w:after="60"/>
        <w:ind w:left="397" w:hanging="198"/>
      </w:pPr>
      <w:r>
        <w:t>Izvor 110 – Županija - opći prihodi i primici: ostvareno je 81.157,85 eura, odnosno 60,83 % plana.</w:t>
      </w:r>
    </w:p>
    <w:p>
      <w:pPr>
        <w:pStyle w:val="ListBullet"/>
        <w:spacing w:after="60"/>
        <w:ind w:left="397" w:hanging="198"/>
      </w:pPr>
      <w:r>
        <w:t>Izvor 451 – Decentralizirane funkcije: ostvareno je 369.667,33 eura, odnosno 82,16 % plana.</w:t>
      </w:r>
    </w:p>
    <w:p>
      <w:pPr>
        <w:pStyle w:val="ListBullet"/>
        <w:spacing w:after="60"/>
        <w:ind w:left="397" w:hanging="198"/>
      </w:pPr>
      <w:r>
        <w:t>Izvor 31 – Vlastiti prihodi: ostvareno je 8.845,78 eura, odnosno 41,73 % plana.</w:t>
      </w:r>
    </w:p>
    <w:p>
      <w:pPr>
        <w:pStyle w:val="ListBullet"/>
        <w:spacing w:after="60"/>
        <w:ind w:left="397" w:hanging="198"/>
      </w:pPr>
      <w:r>
        <w:t>Izvor 41 – Prihodi po posebnim propisima: ostvareno je 5.394,22 eura, odnosno 25,93 % plana.</w:t>
      </w:r>
    </w:p>
    <w:p>
      <w:pPr>
        <w:pStyle w:val="ListBullet"/>
        <w:spacing w:after="60"/>
        <w:ind w:left="397" w:hanging="198"/>
      </w:pPr>
      <w:r>
        <w:t>Izvor 42 – Preneseni višak/manjak prihoda korisnika: ostvareno je 21.344,60 eura, odnosno 81,57 % plana.</w:t>
      </w:r>
    </w:p>
    <w:p>
      <w:pPr>
        <w:pStyle w:val="ListBullet"/>
        <w:spacing w:after="60"/>
        <w:ind w:left="397" w:hanging="198"/>
      </w:pPr>
      <w:r>
        <w:t>Izvor 51 – MZO / državni proračun: ostvareno je 1.499.501,77 eura, odnosno 51,12 % plana.</w:t>
      </w:r>
    </w:p>
    <w:p>
      <w:pPr>
        <w:pStyle w:val="ListBullet"/>
        <w:spacing w:after="60"/>
        <w:ind w:left="397" w:hanging="198"/>
      </w:pPr>
      <w:r>
        <w:t>Izvor 52 – Grad Benkovac / ostale pomoći: ostvareno je 14.609,42 eura, odnosno 20,43 % plana.</w:t>
      </w:r>
    </w:p>
    <w:p>
      <w:pPr>
        <w:pStyle w:val="ListBullet"/>
        <w:spacing w:after="60"/>
        <w:ind w:left="397" w:hanging="198"/>
      </w:pPr>
      <w:r>
        <w:t>Izvor 561 – Fondovi EU: ostvareno je 0,00 eura, odnosno 0,00 % plana.</w:t>
      </w:r>
    </w:p>
    <w:p>
      <w:pPr>
        <w:pStyle w:val="ListBullet"/>
        <w:spacing w:after="60"/>
        <w:ind w:left="397" w:hanging="198"/>
      </w:pPr>
      <w:r>
        <w:t>Izvor 61 – Donacije: nije bilo ostvarenja u izvještajnom razdoblju.</w:t>
      </w:r>
    </w:p>
    <w:p>
      <w:pPr>
        <w:spacing w:after="120" w:line="276" w:lineRule="auto"/>
        <w:ind w:firstLine="340"/>
        <w:jc w:val="both"/>
      </w:pPr>
      <w:r>
        <w:t>Izvor 42 nakon korekcije u svibnju iznosi 21.344,60 eura. Riječ je o prenesenim sredstvima koja su u tablicama prikazana kao zaseban izvor financiranja i ne pribrajaju se ponovno ukupnom rezultatu škole.</w:t>
      </w:r>
    </w:p>
    <w:p>
      <w:pPr>
        <w:spacing w:after="120" w:line="276" w:lineRule="auto"/>
        <w:ind w:firstLine="340"/>
        <w:jc w:val="both"/>
      </w:pPr>
      <w:r>
        <w:t>U tablici rashoda po izvorima dio rashoda izravno je raspoređen prema analitičkim karticama i glavnoj knjizi, dok je kontrolna razlika do ukupnog rashoda iz PR-RAS-a prikazana posebnom stavkom usklađenja. Na taj način ukupni rashodi po izvorima odgovaraju iznosu iskazanom u PR-RAS-u.</w:t>
      </w:r>
    </w:p>
    <w:p>
      <w:pPr>
        <w:pStyle w:val="Heading1"/>
      </w:pPr>
      <w:r>
        <w:rPr>
          <w:b/>
          <w:sz w:val="26"/>
        </w:rPr>
        <w:t>RASHODI PREMA PROGRAMSKOJ I FUNKCIJSKOJ KLASIFIKACIJI</w:t>
      </w:r>
    </w:p>
    <w:p>
      <w:pPr>
        <w:spacing w:after="120" w:line="276" w:lineRule="auto"/>
        <w:ind w:firstLine="340"/>
        <w:jc w:val="both"/>
      </w:pPr>
      <w:r>
        <w:t>Posebni dio izvještaja prikazuje izvršenje rashoda prema programima, aktivnostima, funkcijama i ekonomskim računima. Najveći dio rashoda razvrstan je u funkciju 0912 – Osnovno obrazovanje. U nastavku su izdvojene aktivnosti s najvećim izvršenjem ili posebnim značajem za rad škole.</w:t>
      </w:r>
    </w:p>
    <w:p>
      <w:pPr>
        <w:pStyle w:val="ListBullet"/>
        <w:spacing w:after="60"/>
        <w:ind w:left="397" w:hanging="198"/>
      </w:pPr>
      <w:r>
        <w:t>A2202-01 – Djelatnost osnovnih škola: izvršeno je 362.604,77 eura, odnosno 71,75 % plana.</w:t>
      </w:r>
    </w:p>
    <w:p>
      <w:pPr>
        <w:pStyle w:val="ListBullet"/>
        <w:spacing w:after="60"/>
        <w:ind w:left="397" w:hanging="198"/>
      </w:pPr>
      <w:r>
        <w:t>A2202-04 – Administracija i upravljanje: izvršeno je 1.306.089,70 eura, odnosno 46,71 % plana.</w:t>
      </w:r>
    </w:p>
    <w:p>
      <w:pPr>
        <w:pStyle w:val="ListBullet"/>
        <w:spacing w:after="60"/>
        <w:ind w:left="397" w:hanging="198"/>
      </w:pPr>
      <w:r>
        <w:t>A2203-04 – Podizanje kvalitete i standarda u školstvu: izvršeno je 135.108,15 eura, odnosno 91,87 % plana.</w:t>
      </w:r>
    </w:p>
    <w:p>
      <w:pPr>
        <w:pStyle w:val="ListBullet"/>
        <w:spacing w:after="60"/>
        <w:ind w:left="397" w:hanging="198"/>
      </w:pPr>
      <w:r>
        <w:t>A2203-14 – Natjecanja i smotre OŠ: izvršeno je 3.260,44 eura, odnosno 63,86 % plana.</w:t>
      </w:r>
    </w:p>
    <w:p>
      <w:pPr>
        <w:pStyle w:val="ListBullet"/>
        <w:spacing w:after="60"/>
        <w:ind w:left="397" w:hanging="198"/>
      </w:pPr>
      <w:r>
        <w:t>A2203-33 – Prehrana za učenike: izvršeno je 65.956,98 eura, odnosno 85,56 % plana.</w:t>
      </w:r>
    </w:p>
    <w:p>
      <w:pPr>
        <w:pStyle w:val="ListBullet"/>
        <w:spacing w:after="60"/>
        <w:ind w:left="397" w:hanging="198"/>
      </w:pPr>
      <w:r>
        <w:t>A2203-34 – Zalihe menstrualnih higijenskih potrepština: izvršeno je 1.246,50 eura, odnosno 100,00 % plana.</w:t>
      </w:r>
    </w:p>
    <w:p>
      <w:pPr>
        <w:pStyle w:val="ListBullet"/>
        <w:spacing w:after="60"/>
        <w:ind w:left="397" w:hanging="198"/>
      </w:pPr>
      <w:r>
        <w:t>T4306-03 – Inkluzija - korak bliže društvu bez prepreka, faza V.: izvršeno je 71.574,85 eura, odnosno 58,72 % plana.</w:t>
      </w:r>
    </w:p>
    <w:p>
      <w:pPr>
        <w:spacing w:after="120" w:line="276" w:lineRule="auto"/>
        <w:ind w:firstLine="340"/>
        <w:jc w:val="both"/>
      </w:pPr>
      <w:r>
        <w:t>U okviru kapitalnih ulaganja posebno su evidentirani građevinski radovi u iznosu od 93.332,48 eura. U programskoj tablici također je iskazano kontrolno usklađenje do ukupnog rashoda PR-RAS-a, kako bi zbroj posebnog dijela odgovarao ukupnom izvršenju financijskog plana.</w:t>
      </w:r>
    </w:p>
    <w:p>
      <w:pPr>
        <w:pStyle w:val="Heading1"/>
      </w:pPr>
      <w:r>
        <w:rPr>
          <w:b/>
          <w:sz w:val="26"/>
        </w:rPr>
        <w:t>OBRAZLOŽENJE UKUPNOG MANJKA</w:t>
      </w:r>
    </w:p>
    <w:p>
      <w:pPr>
        <w:spacing w:after="120" w:line="276" w:lineRule="auto"/>
        <w:ind w:firstLine="340"/>
        <w:jc w:val="both"/>
      </w:pPr>
      <w:r>
        <w:t>Ukupni manjak prihoda i primitaka za pokriće u sljedećem razdoblju iznosi 444.183,88 eura. Za potrebe jasnog prikaza Školskom odboru, ukupni manjak raščlanjen je prema njegovim glavnim sastavnicama.</w:t>
      </w:r>
    </w:p>
    <w:p>
      <w:pPr>
        <w:spacing w:after="40"/>
        <w:ind w:left="283"/>
        <w:jc w:val="left"/>
      </w:pPr>
      <w:r>
        <w:rPr>
          <w:b/>
        </w:rPr>
        <w:t xml:space="preserve">Plaća u dospijeću: </w:t>
      </w:r>
      <w:r>
        <w:t>240.539,66 eura</w:t>
      </w:r>
    </w:p>
    <w:p>
      <w:pPr>
        <w:spacing w:after="40"/>
        <w:ind w:left="283"/>
        <w:jc w:val="left"/>
      </w:pPr>
      <w:r>
        <w:rPr>
          <w:b/>
        </w:rPr>
        <w:t xml:space="preserve">Građevinski radovi: </w:t>
      </w:r>
      <w:r>
        <w:t>93.332,48 eura</w:t>
      </w:r>
    </w:p>
    <w:p>
      <w:pPr>
        <w:spacing w:after="40"/>
        <w:ind w:left="283"/>
        <w:jc w:val="left"/>
      </w:pPr>
      <w:r>
        <w:rPr>
          <w:b/>
        </w:rPr>
        <w:t xml:space="preserve">Ostali tekući troškovi poslovanja: </w:t>
      </w:r>
      <w:r>
        <w:t>110.311,74 eura</w:t>
      </w:r>
    </w:p>
    <w:p>
      <w:pPr>
        <w:spacing w:after="120" w:line="276" w:lineRule="auto"/>
        <w:ind w:firstLine="340"/>
        <w:jc w:val="both"/>
      </w:pPr>
      <w:r>
        <w:t>Najveći dio ukupnog manjka odnosi se na obračunatu plaću u dospijeću u iznosu od 240.539,66 eura, što predstavlja 54,15 % ukupnog manjka. Taj dio manjka metodološke je prirode jer je obveza za plaću evidentirana u izvještajnom razdoblju, dok pripadajuća sredstva nisu bila raspoloživa do 30. lipnja 2026. godine.</w:t>
      </w:r>
    </w:p>
    <w:p>
      <w:pPr>
        <w:spacing w:after="120" w:line="276" w:lineRule="auto"/>
        <w:ind w:firstLine="340"/>
        <w:jc w:val="both"/>
      </w:pPr>
      <w:r>
        <w:t>Iznos od 93.332,48 eura, odnosno 21,01 % ukupnog manjka, odnosi se na izvedene građevinske radove i dodatna ulaganja u građevinske objekte. Preostali iznos od 110.311,74 eura, odnosno 24,83 % ukupnog manjka, odnosi se na ostale tekuće troškove poslovanja škole.</w:t>
      </w:r>
    </w:p>
    <w:p>
      <w:pPr>
        <w:spacing w:after="120" w:line="276" w:lineRule="auto"/>
        <w:ind w:firstLine="340"/>
        <w:jc w:val="both"/>
      </w:pPr>
      <w:r>
        <w:t>Navedena struktura pokazuje da je više od polovice ukupnog manjka povezano s plaćom u dospijeću, dok se preostali dio odnosi na provedena ulaganja i redovne troškove potrebne za neometano odvijanje nastave i poslovanja škole.</w:t>
      </w:r>
    </w:p>
    <w:p>
      <w:pPr>
        <w:pStyle w:val="Heading1"/>
      </w:pPr>
      <w:r>
        <w:rPr>
          <w:b/>
          <w:sz w:val="26"/>
        </w:rPr>
        <w:t>IZVJEŠTAJ O OBVEZAMA</w:t>
      </w:r>
    </w:p>
    <w:p>
      <w:pPr>
        <w:spacing w:after="120" w:line="276" w:lineRule="auto"/>
        <w:ind w:firstLine="340"/>
        <w:jc w:val="both"/>
      </w:pPr>
      <w:r>
        <w:t>Ukupno stanje obveza Osnovne škole Benkovac na dan 30. lipnja 2026. godine iznosi 466.039,13 eura. Od ukupnog iznosa, dospjele obveze iznose 225.499,47 eura, a nedospjele obveze 240.539,66 eura.</w:t>
      </w:r>
    </w:p>
    <w:p>
      <w:pPr>
        <w:spacing w:after="120" w:line="276" w:lineRule="auto"/>
        <w:ind w:firstLine="340"/>
        <w:jc w:val="both"/>
      </w:pPr>
      <w:r>
        <w:t>Dospjele obveze sastoje se od obveza za materijalne rashode u iznosu od 131.179,74 eura i obveza za nabavu nefinancijske imovine u iznosu od 94.319,73 eura. Nedospjele obveze u iznosu od 240.539,66 eura odnose se na plaću u dospijeću.</w:t>
      </w:r>
    </w:p>
    <w:p>
      <w:pPr>
        <w:spacing w:after="120" w:line="276" w:lineRule="auto"/>
        <w:ind w:firstLine="340"/>
        <w:jc w:val="both"/>
      </w:pPr>
      <w:r>
        <w:t>Ukupne obveze veće su od ukupnog manjka za 21.855,25 eura. Navedena razlika ne predstavlja nepravilnost jer obveze i rezultat poslovanja nisu istovjetne računovodstvene kategorije: obveze prikazuju neplaćene obveze na određeni dan, dok ukupni manjak predstavlja kumulativni odnos priznatih prihoda i rashoda.</w:t>
      </w:r>
    </w:p>
    <w:p>
      <w:r>
        <w:br w:type="page"/>
      </w:r>
    </w:p>
    <w:p>
      <w:pPr>
        <w:pStyle w:val="Heading1"/>
      </w:pPr>
      <w:r>
        <w:rPr>
          <w:b/>
          <w:sz w:val="26"/>
        </w:rPr>
        <w:t>4. POSEBNI IZVJEŠTAJI U POLUGODIŠNJEM IZVJEŠTAJU O IZVRŠENJU FINANCIJSKOG PLANA</w:t>
      </w:r>
    </w:p>
    <w:p>
      <w:pPr>
        <w:pStyle w:val="Heading2"/>
      </w:pPr>
      <w:r>
        <w:rPr>
          <w:b/>
          <w:sz w:val="23"/>
          <w:u w:val="single"/>
        </w:rPr>
        <w:t>Izvještaj o zaduživanju na domaćem i stranom tržištu novca i kapitala</w:t>
      </w:r>
    </w:p>
    <w:p>
      <w:pPr>
        <w:spacing w:after="120" w:line="276" w:lineRule="auto"/>
        <w:ind w:firstLine="340"/>
        <w:jc w:val="both"/>
      </w:pPr>
      <w:r>
        <w:t>Osnovna škola Benkovac u razdoblju od 1. siječnja do 30. lipnja 2026. godine nije se zaduživala na domaćem ni stranom tržištu novca i kapitala te nema dugoročnih kredita i zajmova.</w:t>
      </w:r>
    </w:p>
    <w:p>
      <w:pPr>
        <w:pStyle w:val="Heading2"/>
      </w:pPr>
      <w:r>
        <w:rPr>
          <w:b/>
          <w:sz w:val="23"/>
          <w:u w:val="single"/>
        </w:rPr>
        <w:t>Izvještaj o danim jamstvima i plaćanjima po protestiranim jamstvima</w:t>
      </w:r>
    </w:p>
    <w:p>
      <w:pPr>
        <w:spacing w:after="120" w:line="276" w:lineRule="auto"/>
        <w:ind w:firstLine="340"/>
        <w:jc w:val="both"/>
      </w:pPr>
      <w:r>
        <w:t>Nije primjenjivo. Škola u izvještajnom razdoblju nije davala jamstva niti je imala plaćanja po protestiranim jamstvima.</w:t>
      </w:r>
    </w:p>
    <w:p>
      <w:pPr>
        <w:pStyle w:val="Heading2"/>
      </w:pPr>
      <w:r>
        <w:rPr>
          <w:b/>
          <w:sz w:val="23"/>
          <w:u w:val="single"/>
        </w:rPr>
        <w:t>Izvještaj o korištenju proračunske zalihe</w:t>
      </w:r>
    </w:p>
    <w:p>
      <w:pPr>
        <w:spacing w:after="120" w:line="276" w:lineRule="auto"/>
        <w:ind w:firstLine="340"/>
        <w:jc w:val="both"/>
      </w:pPr>
      <w:r>
        <w:t>Nije primjenjivo. Škola u izvještajnom razdoblju nije koristila sredstva proračunske zalihe.</w:t>
      </w:r>
    </w:p>
    <w:p>
      <w:pPr>
        <w:pStyle w:val="Heading1"/>
      </w:pPr>
      <w:r>
        <w:rPr>
          <w:b/>
          <w:sz w:val="26"/>
        </w:rPr>
        <w:t>ZAVRŠNE ODREDBE</w:t>
      </w:r>
    </w:p>
    <w:p>
      <w:pPr>
        <w:spacing w:after="120" w:line="276" w:lineRule="auto"/>
        <w:ind w:firstLine="340"/>
        <w:jc w:val="both"/>
      </w:pPr>
      <w:r>
        <w:t>Polugodišnji izvještaj o izvršenju Financijskog plana Osnovne škole Benkovac za razdoblje od 1. siječnja do 30. lipnja 2026. godine dostavlja se Školskom odboru na usvajanje. Nakon donošenja odluke o prihvaćanju izvještaja, škola je dužna izvještaj dostaviti Zadarskoj županiji te ga objaviti na svojim mrežnim stranicama.</w:t>
      </w:r>
    </w:p>
    <w:p>
      <w:pPr>
        <w:spacing w:after="120" w:line="276" w:lineRule="auto"/>
        <w:jc w:val="both"/>
      </w:pPr>
      <w:r>
        <w:t>Sastavni dio ovog izvještaja su tablice općeg i posebnog dijela koje se nalaze u privitku.</w:t>
      </w:r>
    </w:p>
    <w:p/>
    <w:p/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Predsjednik Školskog odbora</w:t>
            </w:r>
          </w:p>
        </w:tc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Ravnatelj</w:t>
            </w:r>
          </w:p>
        </w:tc>
      </w:tr>
      <w:tr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____________________________</w:t>
            </w:r>
          </w:p>
        </w:tc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____________________________</w:t>
            </w:r>
          </w:p>
        </w:tc>
      </w:tr>
      <w:tr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KLASA: __________________________</w:t>
            </w:r>
          </w:p>
        </w:tc>
        <w:tc>
          <w:tcPr>
            <w:tcW w:type="dxa" w:w="453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URBROJ: _________________________</w:t>
            </w:r>
          </w:p>
        </w:tc>
      </w:tr>
    </w:tbl>
    <w:p>
      <w:pPr>
        <w:spacing w:before="280"/>
        <w:jc w:val="left"/>
      </w:pPr>
      <w:r>
        <w:t>U Benkovcu, __________________ 2026. godine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 xml:space="preserve">Stranica </w:t>
      <w:fldChar w:fldCharType="begin"/>
      <w:instrText xml:space="preserve">PAGE</w:instrText>
      <w:fldChar w:fldCharType="end"/>
    </w:r>
    <w:r>
      <w:rPr>
        <w:rFonts w:ascii="Arial" w:hAnsi="Arial"/>
        <w:sz w:val="16"/>
      </w:rPr>
      <w:t xml:space="preserve"> od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46464"/>
        <w:sz w:val="16"/>
      </w:rPr>
      <w:t>OŠ BENKOVAC  |  Polugodišnji izvještaj 2026.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120"/>
      <w:jc w:val="both"/>
    </w:pPr>
    <w:rPr>
      <w:rFonts w:ascii="Times New Roman" w:hAnsi="Times New Roman" w:eastAsia="Times New Roman"/>
      <w:sz w:val="23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jc w:val="left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jc w:val="left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3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hr-H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hr-H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hr-H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hr-H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  <w:rPr>
      <w:lang w:val="hr-HR"/>
    </w:rPr>
  </w:style>
  <w:style w:type="table" w:default="1" w:styleId="TableNormal">
    <w:name w:val="Normal Table"/>
    <w:uiPriority w:val="99"/>
    <w:semiHidden/>
    <w:unhideWhenUsed/>
    <w:rPr>
      <w:lang w:val="hr-H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hr-HR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hr-HR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hr-HR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hr-H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hr-H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hr-HR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hr-HR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hr-HR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lang w:val="hr-HR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hr-HR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hr-HR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lang w:val="hr-HR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hr-HR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hr-HR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hr-HR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hr-HR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hr-HR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hr-H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hr-H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r-H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hr-H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hr-H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hr-H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hr-H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hr-H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hr-H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hr-H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hr-H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hr-H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hr-HR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hr-H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hr-H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Small">
    <w:name w:val="Cover Small"/>
    <w:pPr>
      <w:spacing w:after="0"/>
    </w:pPr>
    <w:rPr>
      <w:rFonts w:ascii="Times New Roman" w:hAnsi="Times New Roman" w:eastAsia="Times New Roman"/>
      <w:b/>
      <w:sz w:val="24"/>
      <w:lang w:val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Polugodišnji izvještaj o izvršenju financijskog plana OŠ Benkovac 30.06.2026.</dc:title>
  <dc:subject>Obrazloženje izvršenja financijskog plana</dc:subject>
  <dc:creator>Osnovna škola Benkovac</dc:creator>
  <cp:keywords>financijski plan, polugodišnji izvještaj, 2026, OŠ Benkovac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