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ae3bb055741d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21238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BENKOVAC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1.916.518,00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1.979.176,37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2.119.853,28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1.968.660,19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10.516,18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108.649,64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108.649,64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203.335,28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98.133,46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48,3</w:t>
            </w:r>
          </w:p>
        </w:tc>
      </w:tr>
    </w:tbl>
    <w:p>
      <w:pPr>
        <w:spacing w:before="0" w:after="0"/>
      </w:pPr>
    </w:p>
    <w:p>
      <w:r>
        <w:t xml:space="preserve">U manjku su sadržani troškovi plaća 06.mjeseca te tekući troškovi.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588,8</w:t>
            </w:r>
          </w:p>
        </w:tc>
      </w:tr>
    </w:tbl>
    <w:p>
      <w:pPr>
        <w:spacing w:before="0" w:after="0"/>
      </w:pPr>
    </w:p>
    <w:p>
      <w:r>
        <w:t xml:space="preserve">POsat indexa u odnosu na prošlu godinu predstavlja povećanje troškova objave javne nabave.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225.499,47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sastoje od dospijelih materijalnih troškova za redovno poslovanje škole. Od toga 93.000 eura se odnosi na kapitalna ulaganja koja će biti podmirena u srpnju 2026.g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7a6c90207b4515" /></Relationships>
</file>