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b896f678c4d3e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21238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BENKOVAC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1.792.560,37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1.916.518,00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106,9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1.804.356,98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2.119.853,28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11.796,61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203.335,28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1723,7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1.876,25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PRIHODA OD NEFINANCIJSKE IMOVINE (šifre 7-4,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X002, 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1.876,25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13.672,86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203.335,28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1487,1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odnosi se u 89 posto iznosa na nedospjelu plaću 06.mjeseca te velike iznose redovnog prijevoza učenika koji će biti plaćeni u narednom periodu. Navedeni iznos predstavlja metodološki manjak 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110.119,80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Kompletan iznos se odnosi na redovne materijalne troškove koje osigurava osnivač i koji trebaju biti plaćeni sa prihodima 07.mjeseca .Od prikazanog iznosa najveći dio se odnosi na redovan prijevoz učenika Čazmatrans 75.994,65 eura te dobavljača za redovnu prehranu učenika u iznosu od 20.014,89 eura što iznosi 87,18 % ukupnog iznosa.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225.130,91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Iznose nedospijele redovne plaće za 06-2025.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458c3f91d45ea" /></Relationships>
</file>