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AB5E" w14:textId="56619D30" w:rsidR="00B0444F" w:rsidRDefault="00B0444F" w:rsidP="00B044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BENKOVAC</w:t>
      </w:r>
    </w:p>
    <w:p w14:paraId="67899F78" w14:textId="3D976187" w:rsidR="00B0444F" w:rsidRDefault="00B0444F" w:rsidP="00B044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ANTUNA MIHANOVĆA 21B</w:t>
      </w:r>
    </w:p>
    <w:p w14:paraId="71B90472" w14:textId="4C970579" w:rsidR="00B0444F" w:rsidRDefault="00B0444F" w:rsidP="00B044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23420 BENKOVAC</w:t>
      </w:r>
    </w:p>
    <w:p w14:paraId="61EC765C" w14:textId="7E76B27E" w:rsidR="00B0444F" w:rsidRDefault="00B0444F" w:rsidP="00B0444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OIB: 73294343358</w:t>
      </w:r>
    </w:p>
    <w:p w14:paraId="47858575" w14:textId="77777777" w:rsidR="00B0444F" w:rsidRDefault="00B0444F" w:rsidP="00B0444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djelatnosti: </w:t>
      </w:r>
    </w:p>
    <w:p w14:paraId="685DB1C4" w14:textId="77777777" w:rsidR="00B0444F" w:rsidRDefault="00B0444F" w:rsidP="00B0444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8520 Osnovno obrazovanje</w:t>
      </w:r>
    </w:p>
    <w:p w14:paraId="6D79AB5B" w14:textId="77777777" w:rsidR="00B0444F" w:rsidRDefault="00B0444F" w:rsidP="00B0444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AFA543" w14:textId="77777777" w:rsidR="00B0444F" w:rsidRDefault="00B0444F" w:rsidP="00B04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E810" w14:textId="77777777" w:rsidR="00B0444F" w:rsidRDefault="00B0444F" w:rsidP="00B0444F"/>
    <w:p w14:paraId="53CA76DE" w14:textId="77777777" w:rsidR="00B0444F" w:rsidRDefault="00B0444F" w:rsidP="00B0444F"/>
    <w:p w14:paraId="193F0050" w14:textId="77777777" w:rsidR="00B0444F" w:rsidRDefault="00B0444F" w:rsidP="00B0444F"/>
    <w:p w14:paraId="20FBB27D" w14:textId="77777777" w:rsidR="00B0444F" w:rsidRDefault="00B0444F" w:rsidP="00B0444F"/>
    <w:p w14:paraId="72FB2C70" w14:textId="77777777" w:rsidR="00B0444F" w:rsidRDefault="00B0444F" w:rsidP="00B0444F"/>
    <w:p w14:paraId="28E4CC62" w14:textId="77777777" w:rsidR="00B0444F" w:rsidRDefault="00B0444F" w:rsidP="00B0444F"/>
    <w:p w14:paraId="6C81A3A4" w14:textId="77777777" w:rsidR="00B0444F" w:rsidRDefault="00B0444F" w:rsidP="00B0444F"/>
    <w:p w14:paraId="446FB4D4" w14:textId="29C75736" w:rsidR="00B0444F" w:rsidRPr="00B0444F" w:rsidRDefault="00B0444F" w:rsidP="00B044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B0444F">
        <w:rPr>
          <w:rFonts w:ascii="Arial" w:hAnsi="Arial" w:cs="Arial"/>
          <w:b/>
          <w:sz w:val="28"/>
          <w:szCs w:val="28"/>
        </w:rPr>
        <w:t>GODIŠNJI  IZVJEŠTAJ O IZVRŠENJU FINANCIJSKOG PLANA</w:t>
      </w:r>
    </w:p>
    <w:p w14:paraId="0C78F260" w14:textId="1260AC38" w:rsidR="00B0444F" w:rsidRPr="00B0444F" w:rsidRDefault="00B0444F" w:rsidP="00B044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Pr="00B0444F">
        <w:rPr>
          <w:rFonts w:ascii="Arial" w:hAnsi="Arial" w:cs="Arial"/>
          <w:b/>
          <w:sz w:val="28"/>
          <w:szCs w:val="28"/>
        </w:rPr>
        <w:t>OSNOVNE ŠKOLE BENKOVAC</w:t>
      </w:r>
    </w:p>
    <w:p w14:paraId="16F6F9AF" w14:textId="233CFA60" w:rsidR="00B0444F" w:rsidRPr="00B0444F" w:rsidRDefault="00B0444F" w:rsidP="00B0444F">
      <w:pPr>
        <w:pStyle w:val="Odlomakpopisa"/>
        <w:ind w:left="2166" w:firstLine="666"/>
        <w:rPr>
          <w:rFonts w:ascii="Arial" w:hAnsi="Arial" w:cs="Arial"/>
          <w:b/>
          <w:sz w:val="28"/>
          <w:szCs w:val="28"/>
        </w:rPr>
      </w:pPr>
      <w:r w:rsidRPr="00B0444F">
        <w:rPr>
          <w:rFonts w:ascii="Arial" w:hAnsi="Arial" w:cs="Arial"/>
          <w:b/>
          <w:sz w:val="28"/>
          <w:szCs w:val="28"/>
        </w:rPr>
        <w:t>01.01.– 31.12. 2024. GODINE</w:t>
      </w:r>
    </w:p>
    <w:p w14:paraId="1BD579E1" w14:textId="77777777" w:rsidR="00B0444F" w:rsidRPr="00B0444F" w:rsidRDefault="00B0444F" w:rsidP="00B0444F">
      <w:pPr>
        <w:rPr>
          <w:rFonts w:ascii="Arial" w:hAnsi="Arial" w:cs="Arial"/>
          <w:sz w:val="28"/>
          <w:szCs w:val="28"/>
        </w:rPr>
      </w:pPr>
    </w:p>
    <w:p w14:paraId="67B17544" w14:textId="77777777" w:rsidR="00B0444F" w:rsidRDefault="00B0444F" w:rsidP="00B0444F"/>
    <w:p w14:paraId="1DECAB50" w14:textId="77777777" w:rsidR="00B0444F" w:rsidRDefault="00B0444F" w:rsidP="00B0444F"/>
    <w:p w14:paraId="1B74EE56" w14:textId="77777777" w:rsidR="00B0444F" w:rsidRDefault="00B0444F" w:rsidP="00B0444F"/>
    <w:p w14:paraId="6FE81DA6" w14:textId="77777777" w:rsidR="00B0444F" w:rsidRDefault="00B0444F" w:rsidP="00B0444F"/>
    <w:p w14:paraId="36C6634A" w14:textId="77777777" w:rsidR="00B0444F" w:rsidRDefault="00B0444F" w:rsidP="00B0444F"/>
    <w:p w14:paraId="73DBDCA1" w14:textId="77777777" w:rsidR="00B0444F" w:rsidRDefault="00B0444F" w:rsidP="00B0444F"/>
    <w:p w14:paraId="54AC0905" w14:textId="77777777" w:rsidR="00B0444F" w:rsidRDefault="00B0444F" w:rsidP="00B0444F"/>
    <w:p w14:paraId="66E2DA75" w14:textId="77777777" w:rsidR="00B0444F" w:rsidRDefault="00B0444F" w:rsidP="00B0444F"/>
    <w:p w14:paraId="27E3ABF2" w14:textId="77777777" w:rsidR="00B0444F" w:rsidRDefault="00B0444F" w:rsidP="00B0444F"/>
    <w:p w14:paraId="64483CE7" w14:textId="77777777" w:rsidR="00B0444F" w:rsidRDefault="00B0444F" w:rsidP="00B0444F"/>
    <w:p w14:paraId="42554987" w14:textId="77777777" w:rsidR="00B0444F" w:rsidRDefault="00B0444F" w:rsidP="00B0444F"/>
    <w:p w14:paraId="5CF29130" w14:textId="77777777" w:rsidR="00B0444F" w:rsidRDefault="00B0444F" w:rsidP="00B0444F"/>
    <w:p w14:paraId="60B8D3C6" w14:textId="77777777" w:rsidR="00B0444F" w:rsidRDefault="00B0444F" w:rsidP="00B0444F"/>
    <w:p w14:paraId="2DA13E01" w14:textId="77777777" w:rsidR="00B0444F" w:rsidRDefault="00B0444F" w:rsidP="00B0444F"/>
    <w:p w14:paraId="1DD4757F" w14:textId="06E07C1F" w:rsidR="00B0444F" w:rsidRDefault="00B0444F" w:rsidP="00B0444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Benkovac, ožujak 2025. godine</w:t>
      </w:r>
    </w:p>
    <w:p w14:paraId="7AAC4766" w14:textId="72EB2998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Godišnji izvještaj o izvršenju Financijskog plana za 2024. godinu sastavljen je prema odredbama Zakona o proračunu (NN 144/21)  i  Pravilnika o polugodišnjem i godišnjem izvještaju o izvršenju proračuna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(NN 85/23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Škola  nije imala primitke od financijske imovine i zaduživanja, niti izdatke za financijsku imovinu i otplate zajmova,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pa isti  neće ni biti obuhvaćeni ovim izvještajem.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8E9D8D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SADRŽAJ I OBUHVAT ISKAZIVANJA PODATAKA </w:t>
      </w:r>
    </w:p>
    <w:p w14:paraId="773EEF9A" w14:textId="59EEEC66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Godišnji izvještaj o izvršenju Financijskog plana za 2024. proračunsku godinu obuhvaća: </w:t>
      </w:r>
    </w:p>
    <w:p w14:paraId="447AEECA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Opći dio izvještaja o izvršenju financijskog plana</w:t>
      </w:r>
    </w:p>
    <w:p w14:paraId="3B27A15C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Posebni dio  izvještaja o izvršenju financijskog plana</w:t>
      </w:r>
    </w:p>
    <w:p w14:paraId="7A66286D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Obrazloženje  izvještaja o izvršenju financijskog plana</w:t>
      </w:r>
    </w:p>
    <w:p w14:paraId="3C29CDEA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Posebni izvještaji</w:t>
      </w:r>
    </w:p>
    <w:p w14:paraId="261A3AE2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14:paraId="5751B782" w14:textId="77777777" w:rsidR="00B0444F" w:rsidRDefault="00B0444F" w:rsidP="00B0444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osnovu Zakona o proračunu (Narodne novine broj 87/08, 136/12, 15/15 i  144/21), Škola  je dužna izraditi Financijski plan i dostaviti ga Školskom odboru na usvajanje.</w:t>
      </w:r>
    </w:p>
    <w:p w14:paraId="74F9D409" w14:textId="4DF7D484" w:rsidR="00B0444F" w:rsidRDefault="00B0444F" w:rsidP="00B0444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Školski odbor i Županijska skupština do kraja tekuće godine usvaja   financijski plan za narednu godinu.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 plan Škole  za 2024. godinu izrađen je u  skladu s odredbama Zakona o proračunu i Uputama proračunskim korisnicima za izradu proračuna Zadarske županije.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Financijskim planom omogućava se financiranje  programa rada Škole. Pri sastavljanju  Financijskog plana obavezno je pridržavati se zakonom propisane metodologije. </w:t>
      </w:r>
    </w:p>
    <w:p w14:paraId="2F4846FF" w14:textId="0B0F211A" w:rsidR="00B0444F" w:rsidRDefault="00B0444F" w:rsidP="00B0444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Škola je također izradila u tijeku 2024. godine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I.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izmjene i dopune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Financijskog plana za 2024. godinu (izvorni i tekući plan 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 te sukladno usvojenom planu u nastavku daje se obrazloženje realizacije istoga.</w:t>
      </w:r>
    </w:p>
    <w:p w14:paraId="426E0E8D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IZVJEŠTAJA O IZVRŠENJU FINANCIJSKOG PLANA</w:t>
      </w:r>
    </w:p>
    <w:p w14:paraId="13310408" w14:textId="10D24090" w:rsidR="00B0444F" w:rsidRDefault="00B0444F" w:rsidP="00B0444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DIO – </w:t>
      </w:r>
    </w:p>
    <w:p w14:paraId="5A7451FD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Općeg dijela </w:t>
      </w:r>
    </w:p>
    <w:p w14:paraId="3B7A41C2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5C398A10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 po izvorima  financiranja</w:t>
      </w:r>
    </w:p>
    <w:p w14:paraId="10914D62" w14:textId="100B9A34" w:rsidR="00B0444F" w:rsidRPr="00B0444F" w:rsidRDefault="00B0444F" w:rsidP="00B0444F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Izvršenje rashoda po funkcijskoj  klasifikaciji</w:t>
      </w:r>
      <w:r w:rsidRPr="00B0444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1525436" w14:textId="77777777" w:rsidR="00B0444F" w:rsidRDefault="00B0444F" w:rsidP="00B0444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DIO – 1 tablica</w:t>
      </w:r>
    </w:p>
    <w:p w14:paraId="39842E0F" w14:textId="7E5E32FE" w:rsidR="00B0444F" w:rsidRPr="00B0444F" w:rsidRDefault="00B0444F" w:rsidP="00B0444F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 rashoda  po  programskoj klasifikaciji i izvorima.</w:t>
      </w:r>
    </w:p>
    <w:p w14:paraId="1EE7C2B4" w14:textId="77777777" w:rsidR="00B0444F" w:rsidRDefault="00B0444F" w:rsidP="00B0444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3C253148" w14:textId="77777777" w:rsidR="00B0444F" w:rsidRDefault="00B0444F" w:rsidP="00B044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Obrazloženje općeg dijela:</w:t>
      </w:r>
    </w:p>
    <w:p w14:paraId="79E07257" w14:textId="77777777" w:rsidR="00B0444F" w:rsidRDefault="00B0444F" w:rsidP="00B0444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(ostvarenja)  prihoda i rashoda u odnosu na ostvareno prethodne godine i u odnosu na planirano po ekonomskoj klasifikaciji, izvorima  financiranja te po funkcijskoj klasifikaciji.</w:t>
      </w:r>
    </w:p>
    <w:p w14:paraId="61614C3B" w14:textId="2CBD54FF" w:rsidR="00B0444F" w:rsidRDefault="00B0444F" w:rsidP="00B044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ostvarenja plana prenesenog viška/manjak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8A28966" w14:textId="5BFAE003" w:rsidR="00B0444F" w:rsidRPr="00B0444F" w:rsidRDefault="00B0444F" w:rsidP="00B0444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POSEBNI IZVJEŠTAJI</w:t>
      </w:r>
    </w:p>
    <w:p w14:paraId="7E7DC3ED" w14:textId="77777777" w:rsidR="00B0444F" w:rsidRDefault="00B0444F" w:rsidP="00B04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PRILOŽENE TABLICE</w:t>
      </w:r>
    </w:p>
    <w:p w14:paraId="39D24BF1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Općeg dijela računa prihoda i rashoda i računa financiranja</w:t>
      </w:r>
    </w:p>
    <w:p w14:paraId="53B8254E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5A7C097C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 po izvorima  financiranja</w:t>
      </w:r>
    </w:p>
    <w:p w14:paraId="6384C651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po funkcijskoj  klasifikaciji</w:t>
      </w:r>
    </w:p>
    <w:p w14:paraId="77B8FD52" w14:textId="77777777" w:rsidR="00B0444F" w:rsidRDefault="00B0444F" w:rsidP="00B0444F">
      <w:pPr>
        <w:pStyle w:val="Odlomakpopis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 rashoda  po  programskoj klasifikaciji.</w:t>
      </w:r>
    </w:p>
    <w:p w14:paraId="0EDB2236" w14:textId="6F077B51" w:rsidR="00B0444F" w:rsidRDefault="00B0444F" w:rsidP="00B044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izrade financijskog plana prihodi i rashodi za 2024. godinu planirani su na razini podskupine  (2. razina računskog plana). Izvještaj o izvršenju financijskog plana pokazuje jesu li sredstva utrošena u skladu s financijskim planom.  U Izvještaju se daje informacija jesu li ostvareni planirani iznosi prihoda i rashoda,  te je li izvršeno planirano pokriće manjka prihoda,  odnosno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  potrošen planirani  preneseni višak  prihoda. </w:t>
      </w:r>
    </w:p>
    <w:p w14:paraId="22947D32" w14:textId="77777777" w:rsidR="005133AC" w:rsidRDefault="005133AC" w:rsidP="005956CC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0D12B3C3" w14:textId="6C7A156A" w:rsidR="005956CC" w:rsidRDefault="005956CC" w:rsidP="005956CC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OBRAZLOŽENJE OPĆEG DIJELA PRORAČUNA</w:t>
      </w:r>
    </w:p>
    <w:p w14:paraId="35939A0B" w14:textId="1FACBCC4" w:rsidR="005133AC" w:rsidRDefault="00C748AB" w:rsidP="00513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8AB">
        <w:rPr>
          <w:rFonts w:ascii="Times New Roman" w:hAnsi="Times New Roman" w:cs="Times New Roman"/>
          <w:bCs/>
          <w:sz w:val="24"/>
          <w:szCs w:val="24"/>
        </w:rPr>
        <w:t>Opći dio prihoda i rashoda predstavlja ukupno planirane i ostvarene prihode i rashode skupa sa 1.rebalansom za 2024.g stoga je u koloni pod rednim brojem 2 za tekući plan prikazan onaj koji je ustanovljen nakon rebalansa proračuna za 2024.g</w:t>
      </w:r>
      <w:r w:rsidR="005133AC" w:rsidRPr="005133AC">
        <w:rPr>
          <w:rFonts w:ascii="Times New Roman" w:hAnsi="Times New Roman" w:cs="Times New Roman"/>
          <w:sz w:val="24"/>
          <w:szCs w:val="24"/>
        </w:rPr>
        <w:t xml:space="preserve"> </w:t>
      </w:r>
      <w:r w:rsidR="005133AC">
        <w:rPr>
          <w:rFonts w:ascii="Times New Roman" w:hAnsi="Times New Roman" w:cs="Times New Roman"/>
          <w:sz w:val="24"/>
          <w:szCs w:val="24"/>
        </w:rPr>
        <w:t>U 2024. godini ostvaren  je prihod od 3.577.102,81 euro što čini 117,,21 %  u odnosu na izvršenje plana  u 2023. godini i 114,26% izvršenja tekućeg plana.  Tabela na strani 3.</w:t>
      </w:r>
    </w:p>
    <w:p w14:paraId="3B5DA3F5" w14:textId="7A895848" w:rsidR="00C748AB" w:rsidRPr="00C748AB" w:rsidRDefault="00C748AB" w:rsidP="00C748AB">
      <w:pPr>
        <w:rPr>
          <w:rFonts w:ascii="Times New Roman" w:hAnsi="Times New Roman" w:cs="Times New Roman"/>
          <w:bCs/>
          <w:sz w:val="24"/>
          <w:szCs w:val="24"/>
        </w:rPr>
      </w:pPr>
    </w:p>
    <w:p w14:paraId="07BC28FE" w14:textId="25E8E662" w:rsidR="00B0444F" w:rsidRDefault="005956CC" w:rsidP="00B0444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C4E03B0" wp14:editId="4A93BBFF">
            <wp:extent cx="6198870" cy="21145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FBB7" w14:textId="55F78B92" w:rsidR="005133AC" w:rsidRDefault="005133AC" w:rsidP="005133AC">
      <w:pPr>
        <w:rPr>
          <w:noProof/>
          <w:sz w:val="28"/>
          <w:szCs w:val="28"/>
        </w:rPr>
      </w:pPr>
    </w:p>
    <w:p w14:paraId="784AD5BE" w14:textId="0095F491" w:rsidR="005133AC" w:rsidRDefault="005133AC" w:rsidP="00513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Obrazloženje ostvarenih prihoda u   za 2024. godinu. Po ekonomskoj klasifikaciji</w:t>
      </w:r>
    </w:p>
    <w:p w14:paraId="13D4136E" w14:textId="6722588E" w:rsidR="005133AC" w:rsidRPr="005133AC" w:rsidRDefault="005133AC" w:rsidP="00513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se nalazi u prilogu nakon ovog teksta.</w:t>
      </w:r>
    </w:p>
    <w:p w14:paraId="69F6C1A6" w14:textId="77777777" w:rsidR="005133AC" w:rsidRDefault="005133AC" w:rsidP="005133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63  Pomoći  unutar  općeg  proračuna</w:t>
      </w:r>
    </w:p>
    <w:p w14:paraId="3A6FDF3D" w14:textId="3DA6FEF1" w:rsidR="005133AC" w:rsidRDefault="005133AC" w:rsidP="00513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pomoći sastoje se od prihoda od Ministarstva </w:t>
      </w:r>
      <w:r w:rsidR="001A5478">
        <w:rPr>
          <w:rFonts w:ascii="Times New Roman" w:hAnsi="Times New Roman" w:cs="Times New Roman"/>
          <w:sz w:val="24"/>
          <w:szCs w:val="24"/>
        </w:rPr>
        <w:t>znanosti te prihoda od Grada Benkovca.</w:t>
      </w:r>
    </w:p>
    <w:p w14:paraId="70D3EA25" w14:textId="459FD273" w:rsidR="005133AC" w:rsidRDefault="005133AC" w:rsidP="00513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prihodi u 2024. godini u odnosu na 2023. veći su </w:t>
      </w:r>
      <w:r w:rsidR="001A5478">
        <w:rPr>
          <w:rFonts w:ascii="Times New Roman" w:eastAsia="Times New Roman" w:hAnsi="Times New Roman" w:cs="Times New Roman"/>
          <w:sz w:val="24"/>
          <w:szCs w:val="24"/>
          <w:lang w:eastAsia="hr-HR"/>
        </w:rPr>
        <w:t>za 16.90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%.  Razlog odstupanja je što smo primili više prihoda od  Ministarstva</w:t>
      </w:r>
      <w:r w:rsidR="001A5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zbog povećanja obračunske osnovice za izračun plaća.</w:t>
      </w:r>
      <w:bookmarkStart w:id="0" w:name="_Hlk162612935"/>
    </w:p>
    <w:bookmarkEnd w:id="0"/>
    <w:p w14:paraId="0CCA761F" w14:textId="77777777" w:rsidR="005133AC" w:rsidRDefault="005133AC" w:rsidP="00513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22D4C" w14:textId="77777777" w:rsidR="005133AC" w:rsidRDefault="005133AC" w:rsidP="005133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65 Prihodi od upravnih i administrativnih pristojbi, pristojbi po posebnim propisima i naknada</w:t>
      </w:r>
    </w:p>
    <w:p w14:paraId="103092A1" w14:textId="399C84DF" w:rsidR="005133AC" w:rsidRDefault="005133AC" w:rsidP="00513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za posebne namjene sastoje se od prihoda </w:t>
      </w:r>
      <w:r w:rsidR="001A547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financiranja cijene  produženog boravka od roditelja, </w:t>
      </w:r>
      <w:r w:rsidR="001A5478">
        <w:rPr>
          <w:rFonts w:ascii="Times New Roman" w:hAnsi="Times New Roman" w:cs="Times New Roman"/>
          <w:sz w:val="24"/>
          <w:szCs w:val="24"/>
        </w:rPr>
        <w:t>uplate roditelja za terensku nastavu i ostali namjenski prihodi</w:t>
      </w:r>
      <w:r>
        <w:rPr>
          <w:rFonts w:ascii="Times New Roman" w:hAnsi="Times New Roman" w:cs="Times New Roman"/>
          <w:sz w:val="24"/>
          <w:szCs w:val="24"/>
        </w:rPr>
        <w:t>. Razlog odstupanja ostvarenja u odnosu na 2023. godinu je taj što</w:t>
      </w:r>
      <w:r w:rsidR="001A5478">
        <w:rPr>
          <w:rFonts w:ascii="Times New Roman" w:hAnsi="Times New Roman" w:cs="Times New Roman"/>
          <w:sz w:val="24"/>
          <w:szCs w:val="24"/>
        </w:rPr>
        <w:t xml:space="preserve"> je </w:t>
      </w:r>
      <w:r w:rsidR="00992210">
        <w:rPr>
          <w:rFonts w:ascii="Times New Roman" w:hAnsi="Times New Roman" w:cs="Times New Roman"/>
          <w:sz w:val="24"/>
          <w:szCs w:val="24"/>
        </w:rPr>
        <w:t xml:space="preserve">u 2023.g ostvarena odšteta za PŠ </w:t>
      </w:r>
      <w:proofErr w:type="spellStart"/>
      <w:r w:rsidR="00992210">
        <w:rPr>
          <w:rFonts w:ascii="Times New Roman" w:hAnsi="Times New Roman" w:cs="Times New Roman"/>
          <w:sz w:val="24"/>
          <w:szCs w:val="24"/>
        </w:rPr>
        <w:t>Raštević</w:t>
      </w:r>
      <w:proofErr w:type="spellEnd"/>
      <w:r w:rsidR="00992210">
        <w:rPr>
          <w:rFonts w:ascii="Times New Roman" w:hAnsi="Times New Roman" w:cs="Times New Roman"/>
          <w:sz w:val="24"/>
          <w:szCs w:val="24"/>
        </w:rPr>
        <w:t xml:space="preserve"> u iznosu od 6.000,00 eura.</w:t>
      </w:r>
    </w:p>
    <w:p w14:paraId="3275F20C" w14:textId="77777777" w:rsidR="005133AC" w:rsidRDefault="005133AC" w:rsidP="00513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71D37BBE" w14:textId="77777777" w:rsidR="005133AC" w:rsidRDefault="005133AC" w:rsidP="005133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66  Prihodi od prodaje proizvoda  i  pruženih usluga</w:t>
      </w:r>
    </w:p>
    <w:p w14:paraId="593F0981" w14:textId="77777777" w:rsidR="005133AC" w:rsidRDefault="005133AC" w:rsidP="00513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Prihodi od najma dvorane</w:t>
      </w:r>
    </w:p>
    <w:p w14:paraId="02A47A95" w14:textId="3B058679" w:rsidR="005133AC" w:rsidRDefault="005133AC" w:rsidP="00992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prihodi </w:t>
      </w:r>
      <w:r w:rsidR="00992210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2023. godinu i iznose </w:t>
      </w:r>
      <w:r w:rsidR="0099221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992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tekući plan</w:t>
      </w:r>
      <w:r w:rsidR="009922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FF593A" w14:textId="77777777" w:rsidR="005133AC" w:rsidRDefault="005133AC" w:rsidP="005133A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67  Prihodi iz nadležnog proračuna </w:t>
      </w:r>
    </w:p>
    <w:p w14:paraId="310F01A1" w14:textId="0CB85F74" w:rsidR="005133AC" w:rsidRDefault="00992210" w:rsidP="00513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  <w:r w:rsidR="005133AC">
        <w:rPr>
          <w:rFonts w:ascii="Times New Roman" w:hAnsi="Times New Roman" w:cs="Times New Roman"/>
          <w:sz w:val="24"/>
          <w:szCs w:val="24"/>
        </w:rPr>
        <w:t xml:space="preserve"> kao naš osnivač financira materijalne rashode nužne za realizaciju nastavnog plana i programa. Prihodi su ostvareni prema planiranim vrijednostima</w:t>
      </w:r>
      <w:r>
        <w:rPr>
          <w:rFonts w:ascii="Times New Roman" w:hAnsi="Times New Roman" w:cs="Times New Roman"/>
          <w:sz w:val="24"/>
          <w:szCs w:val="24"/>
        </w:rPr>
        <w:t xml:space="preserve"> i u tekućem planu uvršten je rebalans za pokriće manjak sredstva iz redovne djelatnosti iz 2023.g</w:t>
      </w:r>
      <w:r w:rsidR="005133AC">
        <w:rPr>
          <w:rFonts w:ascii="Times New Roman" w:hAnsi="Times New Roman" w:cs="Times New Roman"/>
          <w:sz w:val="24"/>
          <w:szCs w:val="24"/>
        </w:rPr>
        <w:t>.</w:t>
      </w:r>
    </w:p>
    <w:p w14:paraId="27BE5C20" w14:textId="19B806AC" w:rsidR="005133AC" w:rsidRDefault="00992210" w:rsidP="00513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Zadarska </w:t>
      </w:r>
      <w:r w:rsidR="005133AC">
        <w:rPr>
          <w:rFonts w:ascii="Times New Roman" w:hAnsi="Times New Roman" w:cs="Times New Roman"/>
          <w:sz w:val="24"/>
          <w:szCs w:val="24"/>
        </w:rPr>
        <w:t>županija također financira i programe Pomoćnik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33AC">
        <w:rPr>
          <w:rFonts w:ascii="Times New Roman" w:hAnsi="Times New Roman" w:cs="Times New Roman"/>
          <w:sz w:val="24"/>
          <w:szCs w:val="24"/>
        </w:rPr>
        <w:t xml:space="preserve"> u nastavi. </w:t>
      </w:r>
    </w:p>
    <w:p w14:paraId="14B2560E" w14:textId="4CE0FAE9" w:rsidR="005133AC" w:rsidRPr="005133AC" w:rsidRDefault="005133AC" w:rsidP="005133AC">
      <w:pPr>
        <w:tabs>
          <w:tab w:val="left" w:pos="3315"/>
        </w:tabs>
        <w:rPr>
          <w:sz w:val="28"/>
          <w:szCs w:val="28"/>
        </w:rPr>
      </w:pPr>
    </w:p>
    <w:p w14:paraId="0F913BA8" w14:textId="70178CC8" w:rsidR="00C748AB" w:rsidRDefault="00C748AB" w:rsidP="0074231D">
      <w:pPr>
        <w:rPr>
          <w:rFonts w:ascii="Times New Roman" w:hAnsi="Times New Roman" w:cs="Times New Roman"/>
          <w:b/>
          <w:sz w:val="24"/>
          <w:szCs w:val="24"/>
        </w:rPr>
      </w:pPr>
      <w:r w:rsidRPr="00C748AB">
        <w:rPr>
          <w:noProof/>
        </w:rPr>
        <w:drawing>
          <wp:inline distT="0" distB="0" distL="0" distR="0" wp14:anchorId="7AA07D93" wp14:editId="78E20258">
            <wp:extent cx="6073254" cy="847725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19" cy="848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E5E2" w14:textId="77777777" w:rsidR="0074231D" w:rsidRDefault="0074231D" w:rsidP="00742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 ostvarenih rashoda u odnosu na 2023.g (tabela sa stranice 5)</w:t>
      </w:r>
    </w:p>
    <w:p w14:paraId="6F02F9DF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 Rashodi za zaposlene</w:t>
      </w:r>
    </w:p>
    <w:p w14:paraId="6038DA11" w14:textId="77777777" w:rsidR="0074231D" w:rsidRDefault="0074231D" w:rsidP="007423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Rashodi za zaposlene veći su u odnosi na prethodnu godinu, jer se plaća zaposlenika povećala u 2024. godini zbog povećanja koeficijenata svim zaposlenicima. Stoga  indeks ostvarenja za ovu godinu iznosi 120%.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12BA56" w14:textId="77777777" w:rsidR="0074231D" w:rsidRDefault="0074231D" w:rsidP="007423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 Materijalni rashodi</w:t>
      </w:r>
    </w:p>
    <w:p w14:paraId="698327E4" w14:textId="77777777" w:rsidR="0074231D" w:rsidRDefault="0074231D" w:rsidP="007423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Materijalni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rashodi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 su u odnosi na prethodnu godinu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iznose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111.50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%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Porast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troškova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utjecao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index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potrošnje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9E4DF0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321 Naknade troškova zaposlenima</w:t>
      </w:r>
    </w:p>
    <w:p w14:paraId="3F20DE2F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ostvareno na prethodnu godinu rashodi su  ujednačeni i nisu bitno odstupali u odnosu na 2023.g čak su bili i manje za 3%.                                                                              </w:t>
      </w:r>
    </w:p>
    <w:p w14:paraId="6AF87D6D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322  Rashodi za materijal i energiju</w:t>
      </w:r>
    </w:p>
    <w:p w14:paraId="59F09BF5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Rashodi za materijal  u odnosu na ostvareno  u prethodnom razdoblju  su veći iznose 112,90%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Razlog je općenito povećanje troškova  materijala kao i povećana potrošnja u cilju osiguravanja svih potrebnih uvjeta za rad .</w:t>
      </w:r>
    </w:p>
    <w:p w14:paraId="7E9BEC6D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323  Rashodi za usluge</w:t>
      </w:r>
    </w:p>
    <w:p w14:paraId="3ECA1D6A" w14:textId="77777777" w:rsidR="0074231D" w:rsidRDefault="0074231D" w:rsidP="00742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Rashodi za usluge ostvareno  202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u odnosu na ostvareno 202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.godine  iznose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117,40%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106%</w:t>
      </w:r>
    </w:p>
    <w:p w14:paraId="6AD7433F" w14:textId="77777777" w:rsidR="0074231D" w:rsidRDefault="0074231D" w:rsidP="00742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od razloga je poskupljenje redovnog prijevoza djece koji čini 85% posto ukupnih usluga. </w:t>
      </w:r>
    </w:p>
    <w:p w14:paraId="5F3BBCA0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329 Ostali nespomenuti rashodi poslovanja</w:t>
      </w:r>
    </w:p>
    <w:p w14:paraId="11C01FF8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Ostvareno u 202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odnosu na prethodnu godinu iznosi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65% 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predstvalja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umanjenje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Umanjenje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nastalo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isplata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sudskih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presuda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tužbama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sindikata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razlike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plaća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realizirane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2023.g </w:t>
      </w:r>
    </w:p>
    <w:p w14:paraId="12971868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34 Financijski rashodi</w:t>
      </w:r>
    </w:p>
    <w:p w14:paraId="499000CF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Indeks ostvareno u odnosu na prethodnu godinu iznosi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367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planirano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89%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bankarske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usluge 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obnovu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digitalnih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certifikata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čija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godišnja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porasla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100 %.</w:t>
      </w:r>
    </w:p>
    <w:p w14:paraId="347BD36D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6AC85B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37 Naknade građanima i kućanstvima</w:t>
      </w:r>
    </w:p>
    <w:p w14:paraId="70E1D75D" w14:textId="7310986A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na ovom kontu odnose se na nabavu besplatnih radnih udžbenika i radnih bilježnica koje financira Grad Benkovac .Javnu nabavu za te materijale također provodi Grad Benkovac. Ovi rashodi predstavljaju naknadu u naravi i tako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knjiženi.Odstupanje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6 % predstavlja samo povećanje cijena u odnosu na 2023.g</w:t>
      </w:r>
    </w:p>
    <w:p w14:paraId="0E6FDC26" w14:textId="77777777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42  Rashodi za nabavu dugotrajne imovine</w:t>
      </w:r>
    </w:p>
    <w:p w14:paraId="745D570C" w14:textId="493FA8E1" w:rsidR="0074231D" w:rsidRDefault="0074231D" w:rsidP="00742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opreme realizirani su u odnosu na tekući plan u iznosu od </w:t>
      </w:r>
      <w:r>
        <w:rPr>
          <w:rFonts w:ascii="Times New Roman" w:hAnsi="Times New Roman" w:cs="Times New Roman"/>
          <w:sz w:val="24"/>
          <w:szCs w:val="24"/>
          <w:lang w:val="en-GB"/>
        </w:rPr>
        <w:t>47%</w:t>
      </w:r>
      <w:r>
        <w:rPr>
          <w:rFonts w:ascii="Times New Roman" w:hAnsi="Times New Roman" w:cs="Times New Roman"/>
          <w:sz w:val="24"/>
          <w:szCs w:val="24"/>
        </w:rPr>
        <w:t xml:space="preserve"> dok je u odnosu na ostvarenje iz 202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89797A">
        <w:rPr>
          <w:rFonts w:ascii="Times New Roman" w:hAnsi="Times New Roman" w:cs="Times New Roman"/>
          <w:sz w:val="24"/>
          <w:szCs w:val="24"/>
          <w:lang w:val="en-GB"/>
        </w:rPr>
        <w:t>71%</w:t>
      </w:r>
    </w:p>
    <w:p w14:paraId="5001600F" w14:textId="76689DD6" w:rsidR="0074231D" w:rsidRDefault="0074231D" w:rsidP="00897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navedenoga je vidljivo kako radimo na povećanju dugotrajne imovine,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vlastitih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prenesenih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nabav</w:t>
      </w:r>
      <w:r w:rsidR="0089797A">
        <w:rPr>
          <w:rFonts w:ascii="Times New Roman" w:hAnsi="Times New Roman" w:cs="Times New Roman"/>
          <w:sz w:val="24"/>
          <w:szCs w:val="24"/>
          <w:lang w:val="en-GB"/>
        </w:rPr>
        <w:t>ljali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klima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uređaje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računala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ups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uređaj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neprekidno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napajanje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te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uređaje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održavanje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okoliša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škole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motorne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89797A">
        <w:rPr>
          <w:rFonts w:ascii="Times New Roman" w:hAnsi="Times New Roman" w:cs="Times New Roman"/>
          <w:sz w:val="24"/>
          <w:szCs w:val="24"/>
          <w:lang w:val="en-GB"/>
        </w:rPr>
        <w:t>kosilice</w:t>
      </w:r>
      <w:proofErr w:type="spellEnd"/>
      <w:r w:rsidR="0089797A">
        <w:rPr>
          <w:rFonts w:ascii="Times New Roman" w:hAnsi="Times New Roman" w:cs="Times New Roman"/>
          <w:sz w:val="24"/>
          <w:szCs w:val="24"/>
          <w:lang w:val="en-GB"/>
        </w:rPr>
        <w:t>) .</w:t>
      </w:r>
    </w:p>
    <w:p w14:paraId="5FCF117D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ED3C9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F84A8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11B8B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A5660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612B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C67B7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3C10E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20D4E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52D4D" w14:textId="77777777" w:rsidR="0074231D" w:rsidRDefault="0074231D" w:rsidP="00742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5CF1E" w14:textId="6EA7B5B2" w:rsidR="0074231D" w:rsidRDefault="0074231D" w:rsidP="0074231D">
      <w:pPr>
        <w:rPr>
          <w:rFonts w:ascii="Times New Roman" w:hAnsi="Times New Roman" w:cs="Times New Roman"/>
          <w:b/>
          <w:sz w:val="24"/>
          <w:szCs w:val="24"/>
        </w:rPr>
      </w:pPr>
    </w:p>
    <w:p w14:paraId="32F25AFC" w14:textId="16994FFD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E599B" w14:textId="5FE047BA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CA228" w14:textId="5D55AE79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33EE9" w14:textId="6C613A26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A4E9" w14:textId="58C36811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43D1" w14:textId="49429B7E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0033" w14:textId="00986CB0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4C57" w14:textId="58138C7B" w:rsidR="0074231D" w:rsidRDefault="0074231D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30848" w14:textId="3AB235FC" w:rsidR="0074231D" w:rsidRDefault="0089797A" w:rsidP="00897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prema izvorima financiranja</w:t>
      </w:r>
    </w:p>
    <w:p w14:paraId="3E6F3327" w14:textId="0A162B8B" w:rsidR="005956CC" w:rsidRDefault="00C748AB" w:rsidP="00C74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895D6B" wp14:editId="65373710">
            <wp:extent cx="6381750" cy="3276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FD89" w14:textId="61CDE368" w:rsidR="00992210" w:rsidRPr="0089797A" w:rsidRDefault="00992210" w:rsidP="009922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97A">
        <w:rPr>
          <w:rFonts w:ascii="Times New Roman" w:hAnsi="Times New Roman" w:cs="Times New Roman"/>
          <w:b/>
          <w:bCs/>
          <w:sz w:val="24"/>
          <w:szCs w:val="24"/>
        </w:rPr>
        <w:t>Prihodi i rashodi razvrstani su prema izvorima financiranja</w:t>
      </w:r>
    </w:p>
    <w:p w14:paraId="1FCB45D5" w14:textId="75563BCD" w:rsidR="005956CC" w:rsidRDefault="00992210" w:rsidP="0089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dijelu prihoda, prikazani su prihodi ostvareni u 2024. godini, a u dijelu rashoda, prikazani su rashodi koji su se financirali iz prihoda 2024. godine te također i rashodi 12.mjeseca 2024.koji će biti plaćeni u siječnju 2025.Taj manjak sredstava predstavlja metodološki manjak budući da prihode moramo prikazivati po raspoloživosti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 pristignu plaćanja u riznici.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akođer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prikazani i rashodi koji su pokriveni viškom prenesenih sredstava iz prethodne godine.</w:t>
      </w:r>
    </w:p>
    <w:p w14:paraId="4ABBBC3E" w14:textId="77777777" w:rsidR="0089797A" w:rsidRDefault="00B0444F" w:rsidP="0089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priložene tablice, vidljivo je da je ostvarenje PRIHODA  u odnosu na planirano </w:t>
      </w:r>
      <w:r w:rsidR="0089797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, a</w:t>
      </w:r>
    </w:p>
    <w:p w14:paraId="2C681116" w14:textId="72609D00" w:rsidR="00B0444F" w:rsidRDefault="0089797A" w:rsidP="0089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2023.g ostvarenje je 114 % više.</w:t>
      </w:r>
      <w:r w:rsidR="00B044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E600B4" w14:textId="67D46A34" w:rsidR="00B0444F" w:rsidRDefault="00B0444F" w:rsidP="00897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5E489" w14:textId="0BA3355A" w:rsidR="00B0444F" w:rsidRDefault="00B0444F" w:rsidP="008979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Izvor: </w:t>
      </w:r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sredstva vlastiti prihodi proračunskih korisnika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ostvarenje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uspjeli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utrošiti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te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se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sredstva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prenose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u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iduću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godinu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.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Višak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iz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vlastitih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iznose</w:t>
      </w:r>
      <w:proofErr w:type="spellEnd"/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2.316,61 euro.</w:t>
      </w:r>
    </w:p>
    <w:p w14:paraId="240D523C" w14:textId="7288B748" w:rsidR="00B0444F" w:rsidRDefault="00B0444F" w:rsidP="0089797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Izvor: </w:t>
      </w:r>
      <w:r w:rsidR="00897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Prenesena sredstva - namjenski prihodi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korisnici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ostvarenje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92,9 9%,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trošak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odnosi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najvećim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djelom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pripremu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obroka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u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dnevnom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boravku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higijenske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potrepštin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e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.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Višak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se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prenosi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u 2025.g I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iznosi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2.716,91 euro.</w:t>
      </w:r>
    </w:p>
    <w:p w14:paraId="2E188205" w14:textId="4CBE36E6" w:rsidR="00B0444F" w:rsidRDefault="00B0444F" w:rsidP="0089797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Izvor: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Prenesena sredstva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VIŠAK PRETHODNIH GODINA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donešena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prethodnih godina koja iznose 17.169,85 euro.</w:t>
      </w:r>
    </w:p>
    <w:p w14:paraId="7D40B275" w14:textId="0BF3A7CF" w:rsidR="00B0444F" w:rsidRPr="008C50AF" w:rsidRDefault="00B0444F" w:rsidP="00B0444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Izvor: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Prenesena sredstva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pomoći MZO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višak sredstava koji će biti utrošen za potrebe nastave i iznose 260,29 eura a predstavlja sredstva za voditelja stručnog aktiva učitelja. </w:t>
      </w:r>
    </w:p>
    <w:p w14:paraId="1D796D7E" w14:textId="01515E51" w:rsidR="008C50AF" w:rsidRDefault="008C50AF" w:rsidP="00B0444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51039-Prenesena sredstva- MZO prehrana učenika-prenesen je višak u iznosu od 1.061,61 euro iz kojih će se platiti redovna prehrana učenika koju financira MZO.</w:t>
      </w:r>
    </w:p>
    <w:p w14:paraId="6E2E57F6" w14:textId="63ABE0C3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Planirano pokriće manjka iz 2023. koje se odnosi na </w:t>
      </w:r>
      <w:r w:rsidR="008C50AF">
        <w:rPr>
          <w:rFonts w:ascii="Times New Roman" w:hAnsi="Times New Roman" w:cs="Times New Roman"/>
          <w:sz w:val="24"/>
          <w:szCs w:val="24"/>
        </w:rPr>
        <w:t xml:space="preserve">račune 12.mjeseca 2023. </w:t>
      </w:r>
      <w:r>
        <w:rPr>
          <w:rFonts w:ascii="Times New Roman" w:hAnsi="Times New Roman" w:cs="Times New Roman"/>
          <w:sz w:val="24"/>
          <w:szCs w:val="24"/>
        </w:rPr>
        <w:t>ostvareno je doznakom prihoda od</w:t>
      </w:r>
      <w:r w:rsidR="008C50AF">
        <w:rPr>
          <w:rFonts w:ascii="Times New Roman" w:hAnsi="Times New Roman" w:cs="Times New Roman"/>
          <w:sz w:val="24"/>
          <w:szCs w:val="24"/>
        </w:rPr>
        <w:t xml:space="preserve"> Zadarske županije u mjesecu siječnju i veljači 2024.g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A58" w14:textId="49D15FDB" w:rsidR="00B0444F" w:rsidRDefault="00B0444F" w:rsidP="00B044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po funkcijskoj klasifikaciji</w:t>
      </w:r>
    </w:p>
    <w:p w14:paraId="5224DEAD" w14:textId="2C98C559" w:rsidR="00B0444F" w:rsidRDefault="008C50AF" w:rsidP="00B0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D7AF56" wp14:editId="07BD70FF">
            <wp:extent cx="6467475" cy="19431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4486" w14:textId="4888C157" w:rsidR="00B0444F" w:rsidRDefault="008C50AF" w:rsidP="00B0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tabeli su prikazani ukupni rashodi za sve projekte u Školi te je iz ukupnog iznosa izdvojena prehrana učenika u iznosu od 117.142,41 euro koji predstavlja zasebni projekt. Ostvarenje je 100 % što ukazuje da su se ova sredstva ispravno planirala. </w:t>
      </w:r>
    </w:p>
    <w:p w14:paraId="5A3B9B40" w14:textId="77777777" w:rsidR="00B0444F" w:rsidRDefault="00B0444F" w:rsidP="00B0444F">
      <w:pPr>
        <w:pStyle w:val="Odlomakpopisa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POSEBNI IZVJEŠTAJI U GODIŠNJEM IZVJEŠTAJU O IZVRŠENJU FINANCIJSKOG PLANA PRORAČUNSKOG I IZVANPRORAČUNSKOG KORISNIKA</w:t>
      </w:r>
    </w:p>
    <w:p w14:paraId="473038E8" w14:textId="77777777" w:rsidR="00B0444F" w:rsidRDefault="00B0444F" w:rsidP="00B0444F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Posebni izvještaji iz članka 46.-51. Pravilnika u godišnjem izvještaju o izvršenju financijskog plana proračunskog korisnika su:</w:t>
      </w:r>
    </w:p>
    <w:p w14:paraId="5195E57D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Izvještaj o zaduživanju na domaćem i stranom tržištu novca i kapitala</w:t>
      </w:r>
    </w:p>
    <w:p w14:paraId="7E91BC35" w14:textId="78CE564E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Obzirom da se Osnovna škola </w:t>
      </w:r>
      <w:r w:rsidR="008C50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Benkovac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2024. godini nije zaduživala na domaćem  i stranom tržištu novca i kapitala nemamo zaduživanja po dugoročnim kreditima i zajmovima.</w:t>
      </w:r>
    </w:p>
    <w:p w14:paraId="37EE2841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231F20"/>
          <w:sz w:val="24"/>
          <w:szCs w:val="24"/>
          <w:shd w:val="clear" w:color="auto" w:fill="FFFFFF"/>
        </w:rPr>
        <w:t>Izvještaj o danim jamstvima i plaćanjima po protestiranim jamstvima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nije primjenjivo.</w:t>
      </w:r>
    </w:p>
    <w:p w14:paraId="468B07C6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highlight w:val="yellow"/>
        </w:rPr>
      </w:pPr>
      <w:r>
        <w:rPr>
          <w:rFonts w:ascii="Times New Roman" w:eastAsia="serif" w:hAnsi="Times New Roman" w:cs="Times New Roman"/>
          <w:b/>
          <w:bCs/>
          <w:color w:val="231F20"/>
          <w:sz w:val="24"/>
          <w:szCs w:val="24"/>
          <w:shd w:val="clear" w:color="auto" w:fill="FFFFFF"/>
          <w:lang w:val="en-GB"/>
        </w:rPr>
        <w:t>I</w:t>
      </w:r>
      <w:proofErr w:type="spellStart"/>
      <w:r>
        <w:rPr>
          <w:rFonts w:ascii="Times New Roman" w:eastAsia="serif" w:hAnsi="Times New Roman" w:cs="Times New Roman"/>
          <w:b/>
          <w:bCs/>
          <w:color w:val="231F20"/>
          <w:sz w:val="24"/>
          <w:szCs w:val="24"/>
          <w:shd w:val="clear" w:color="auto" w:fill="FFFFFF"/>
        </w:rPr>
        <w:t>zvještaj</w:t>
      </w:r>
      <w:proofErr w:type="spellEnd"/>
      <w:r>
        <w:rPr>
          <w:rFonts w:ascii="Times New Roman" w:eastAsia="serif" w:hAnsi="Times New Roman" w:cs="Times New Roman"/>
          <w:b/>
          <w:bCs/>
          <w:color w:val="231F20"/>
          <w:sz w:val="24"/>
          <w:szCs w:val="24"/>
          <w:shd w:val="clear" w:color="auto" w:fill="FFFFFF"/>
        </w:rPr>
        <w:t xml:space="preserve"> o korištenju proračunske zalihe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nije primjenjivo.</w:t>
      </w:r>
    </w:p>
    <w:p w14:paraId="5EB61FAE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0BEA2D82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31E078CB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0B86CFCD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4DDEACF6" w14:textId="77777777" w:rsidR="00B0444F" w:rsidRDefault="00B0444F" w:rsidP="00B0444F">
      <w:pPr>
        <w:spacing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559D29A7" w14:textId="7468D085" w:rsidR="00B0444F" w:rsidRDefault="008C50AF" w:rsidP="00B0444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</w:t>
      </w:r>
      <w:r w:rsidR="00B0444F">
        <w:rPr>
          <w:rFonts w:ascii="Times New Roman" w:hAnsi="Times New Roman" w:cs="Times New Roman"/>
          <w:b/>
          <w:bCs/>
        </w:rPr>
        <w:t>AVRŠNE ODREDBE</w:t>
      </w:r>
    </w:p>
    <w:p w14:paraId="0953CBCE" w14:textId="77777777" w:rsidR="00B0444F" w:rsidRDefault="00B0444F" w:rsidP="00B0444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BE5308" w14:textId="77777777" w:rsidR="00B0444F" w:rsidRDefault="00B0444F" w:rsidP="00B0444F">
      <w:pPr>
        <w:pStyle w:val="Default"/>
        <w:jc w:val="center"/>
        <w:rPr>
          <w:rFonts w:ascii="Times New Roman" w:hAnsi="Times New Roman" w:cs="Times New Roman"/>
        </w:rPr>
      </w:pPr>
    </w:p>
    <w:p w14:paraId="168458C3" w14:textId="31411C63" w:rsidR="00B0444F" w:rsidRDefault="008C50AF" w:rsidP="00B0444F">
      <w:pPr>
        <w:pStyle w:val="Default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</w:t>
      </w:r>
      <w:r w:rsidR="00B0444F">
        <w:rPr>
          <w:rFonts w:ascii="Times New Roman" w:hAnsi="Times New Roman" w:cs="Times New Roman"/>
        </w:rPr>
        <w:t xml:space="preserve">zvještaj o izvršenju financijskog plana za 2024. godinu Osnovne škole </w:t>
      </w:r>
      <w:r>
        <w:rPr>
          <w:rFonts w:ascii="Times New Roman" w:hAnsi="Times New Roman" w:cs="Times New Roman"/>
        </w:rPr>
        <w:t>Benkovac</w:t>
      </w:r>
      <w:r w:rsidR="00B0444F">
        <w:rPr>
          <w:rFonts w:ascii="Times New Roman" w:hAnsi="Times New Roman" w:cs="Times New Roman"/>
        </w:rPr>
        <w:t xml:space="preserve">, dostavlja se Školskom odboru na usvajanje. </w:t>
      </w:r>
    </w:p>
    <w:p w14:paraId="6E4DF83E" w14:textId="7D26D88A" w:rsidR="00B0444F" w:rsidRDefault="00B0444F" w:rsidP="00B0444F">
      <w:pPr>
        <w:pStyle w:val="Default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donošenja Odluke o prihvaćanju Izvještaja o izvršenju financijskog plana, škola je dužna isti dostaviti </w:t>
      </w:r>
      <w:r w:rsidR="008C50AF">
        <w:rPr>
          <w:rFonts w:ascii="Times New Roman" w:hAnsi="Times New Roman" w:cs="Times New Roman"/>
        </w:rPr>
        <w:t>Zadarskoj</w:t>
      </w:r>
      <w:r>
        <w:rPr>
          <w:rFonts w:ascii="Times New Roman" w:hAnsi="Times New Roman" w:cs="Times New Roman"/>
        </w:rPr>
        <w:t xml:space="preserve"> županiji, te ga objaviti na svojim mrežnim stranicama. </w:t>
      </w:r>
    </w:p>
    <w:p w14:paraId="403966B2" w14:textId="77777777" w:rsidR="00B0444F" w:rsidRDefault="00B0444F" w:rsidP="00B0444F">
      <w:pPr>
        <w:pStyle w:val="Default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ovog Izvještaja o izvršenju financijskog plana su tablice koje se nalaze u privitku. </w:t>
      </w:r>
    </w:p>
    <w:p w14:paraId="7525A463" w14:textId="77777777" w:rsidR="00B0444F" w:rsidRDefault="00B0444F" w:rsidP="00B0444F">
      <w:pPr>
        <w:pStyle w:val="Default"/>
        <w:rPr>
          <w:rFonts w:ascii="Times New Roman" w:hAnsi="Times New Roman" w:cs="Times New Roman"/>
        </w:rPr>
      </w:pPr>
    </w:p>
    <w:p w14:paraId="40204F1E" w14:textId="77777777" w:rsidR="00B0444F" w:rsidRDefault="00B0444F" w:rsidP="00B0444F">
      <w:pPr>
        <w:pStyle w:val="Default"/>
        <w:rPr>
          <w:rFonts w:ascii="Times New Roman" w:hAnsi="Times New Roman" w:cs="Times New Roman"/>
        </w:rPr>
      </w:pPr>
    </w:p>
    <w:p w14:paraId="32881421" w14:textId="298EEF20" w:rsidR="00B0444F" w:rsidRDefault="008C50AF" w:rsidP="00B0444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Predsjednik Školskog odbora</w:t>
      </w:r>
      <w:r w:rsidR="00B0444F">
        <w:rPr>
          <w:rFonts w:ascii="Times New Roman" w:hAnsi="Times New Roman" w:cs="Times New Roman"/>
          <w:b/>
          <w:bCs/>
        </w:rPr>
        <w:t xml:space="preserve"> </w:t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0444F">
        <w:rPr>
          <w:rFonts w:ascii="Times New Roman" w:hAnsi="Times New Roman" w:cs="Times New Roman"/>
          <w:b/>
          <w:bCs/>
        </w:rPr>
        <w:t xml:space="preserve">Ravnatelj: </w:t>
      </w:r>
    </w:p>
    <w:p w14:paraId="297914D9" w14:textId="77777777" w:rsidR="00B0444F" w:rsidRDefault="00B0444F" w:rsidP="00B0444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21A106" w14:textId="0A9EA8A3" w:rsidR="00B0444F" w:rsidRDefault="008C50AF" w:rsidP="00B0444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Utković</w:t>
      </w:r>
      <w:proofErr w:type="spellEnd"/>
      <w:r w:rsidR="00B0444F">
        <w:rPr>
          <w:rFonts w:ascii="Times New Roman" w:hAnsi="Times New Roman" w:cs="Times New Roman"/>
          <w:sz w:val="24"/>
          <w:szCs w:val="24"/>
        </w:rPr>
        <w:tab/>
      </w:r>
      <w:r w:rsidR="00B0444F">
        <w:rPr>
          <w:rFonts w:ascii="Times New Roman" w:hAnsi="Times New Roman" w:cs="Times New Roman"/>
          <w:sz w:val="24"/>
          <w:szCs w:val="24"/>
        </w:rPr>
        <w:tab/>
      </w:r>
      <w:r w:rsidR="00B0444F">
        <w:rPr>
          <w:rFonts w:ascii="Times New Roman" w:hAnsi="Times New Roman" w:cs="Times New Roman"/>
          <w:sz w:val="24"/>
          <w:szCs w:val="24"/>
        </w:rPr>
        <w:tab/>
      </w:r>
      <w:r w:rsidR="00B0444F">
        <w:rPr>
          <w:rFonts w:ascii="Times New Roman" w:hAnsi="Times New Roman" w:cs="Times New Roman"/>
          <w:sz w:val="24"/>
          <w:szCs w:val="24"/>
        </w:rPr>
        <w:tab/>
      </w:r>
      <w:r w:rsidR="00B0444F">
        <w:rPr>
          <w:rFonts w:ascii="Times New Roman" w:hAnsi="Times New Roman" w:cs="Times New Roman"/>
          <w:sz w:val="24"/>
          <w:szCs w:val="24"/>
        </w:rPr>
        <w:tab/>
      </w:r>
      <w:r w:rsidR="00B044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Tonći Kuman</w:t>
      </w:r>
      <w:r w:rsidR="00B0444F">
        <w:rPr>
          <w:rFonts w:ascii="Times New Roman" w:hAnsi="Times New Roman" w:cs="Times New Roman"/>
          <w:sz w:val="24"/>
          <w:szCs w:val="24"/>
        </w:rPr>
        <w:t>, prof.</w:t>
      </w:r>
    </w:p>
    <w:p w14:paraId="162B3501" w14:textId="77777777" w:rsidR="00B0444F" w:rsidRDefault="00B0444F" w:rsidP="00B0444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652E9" wp14:editId="6BE7BA17">
                <wp:simplePos x="0" y="0"/>
                <wp:positionH relativeFrom="column">
                  <wp:posOffset>4445</wp:posOffset>
                </wp:positionH>
                <wp:positionV relativeFrom="paragraph">
                  <wp:posOffset>139065</wp:posOffset>
                </wp:positionV>
                <wp:extent cx="1533525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ED644" id="Ravni povez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95pt" to="121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AF187" wp14:editId="7170948B">
                <wp:simplePos x="0" y="0"/>
                <wp:positionH relativeFrom="column">
                  <wp:posOffset>4024630</wp:posOffset>
                </wp:positionH>
                <wp:positionV relativeFrom="paragraph">
                  <wp:posOffset>131445</wp:posOffset>
                </wp:positionV>
                <wp:extent cx="1714500" cy="9525"/>
                <wp:effectExtent l="0" t="0" r="19050" b="2857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9BD1A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0.35pt" to="45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29D2854" w14:textId="3757390F" w:rsidR="00B0444F" w:rsidRDefault="00B0444F" w:rsidP="00B0444F">
      <w:pPr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220E480" w14:textId="77777777" w:rsidR="00B0444F" w:rsidRDefault="00B0444F" w:rsidP="00B04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CF01" w14:textId="77777777" w:rsidR="00B0444F" w:rsidRDefault="00B0444F" w:rsidP="00B0444F">
      <w:pPr>
        <w:pStyle w:val="Default"/>
        <w:rPr>
          <w:rFonts w:ascii="Times New Roman" w:hAnsi="Times New Roman" w:cs="Times New Roman"/>
          <w:b/>
          <w:bCs/>
        </w:rPr>
      </w:pPr>
    </w:p>
    <w:p w14:paraId="75141E4B" w14:textId="77777777" w:rsidR="00B0444F" w:rsidRDefault="00B0444F" w:rsidP="00B0444F">
      <w:pPr>
        <w:pStyle w:val="Default"/>
        <w:rPr>
          <w:rFonts w:ascii="Times New Roman" w:hAnsi="Times New Roman" w:cs="Times New Roman"/>
        </w:rPr>
      </w:pPr>
    </w:p>
    <w:p w14:paraId="1FDB27A6" w14:textId="27BB519C" w:rsidR="00B0444F" w:rsidRDefault="00B0444F" w:rsidP="00B04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C50AF">
        <w:rPr>
          <w:rFonts w:ascii="Times New Roman" w:hAnsi="Times New Roman" w:cs="Times New Roman"/>
          <w:sz w:val="24"/>
          <w:szCs w:val="24"/>
        </w:rPr>
        <w:t>Benkovcu,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C5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50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C6966" w14:textId="25D331B2" w:rsidR="006E4308" w:rsidRDefault="006E4308" w:rsidP="006E43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Klasa:007-04/25-02/2</w:t>
      </w:r>
    </w:p>
    <w:p w14:paraId="3965EED0" w14:textId="58ED61F1" w:rsidR="006E4308" w:rsidRDefault="006E4308" w:rsidP="006E43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Urbroj:2198-1-20-25-3</w:t>
      </w:r>
    </w:p>
    <w:p w14:paraId="45938EF0" w14:textId="77777777" w:rsidR="005C3E67" w:rsidRDefault="005C3E67"/>
    <w:sectPr w:rsidR="005C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F95A" w14:textId="77777777" w:rsidR="0059408C" w:rsidRDefault="0059408C" w:rsidP="00C748AB">
      <w:pPr>
        <w:spacing w:after="0" w:line="240" w:lineRule="auto"/>
      </w:pPr>
      <w:r>
        <w:separator/>
      </w:r>
    </w:p>
  </w:endnote>
  <w:endnote w:type="continuationSeparator" w:id="0">
    <w:p w14:paraId="7766CCCD" w14:textId="77777777" w:rsidR="0059408C" w:rsidRDefault="0059408C" w:rsidP="00C7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59BE" w14:textId="77777777" w:rsidR="0059408C" w:rsidRDefault="0059408C" w:rsidP="00C748AB">
      <w:pPr>
        <w:spacing w:after="0" w:line="240" w:lineRule="auto"/>
      </w:pPr>
      <w:r>
        <w:separator/>
      </w:r>
    </w:p>
  </w:footnote>
  <w:footnote w:type="continuationSeparator" w:id="0">
    <w:p w14:paraId="03EF1FD3" w14:textId="77777777" w:rsidR="0059408C" w:rsidRDefault="0059408C" w:rsidP="00C7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DD7"/>
    <w:multiLevelType w:val="multilevel"/>
    <w:tmpl w:val="44A06DD7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3BB1F6"/>
    <w:multiLevelType w:val="singleLevel"/>
    <w:tmpl w:val="5B3BB1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8444380"/>
    <w:multiLevelType w:val="multilevel"/>
    <w:tmpl w:val="684443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50539"/>
    <w:multiLevelType w:val="multilevel"/>
    <w:tmpl w:val="6F4505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33" w:hanging="720"/>
      </w:pPr>
    </w:lvl>
    <w:lvl w:ilvl="3">
      <w:start w:val="1"/>
      <w:numFmt w:val="decimal"/>
      <w:isLgl/>
      <w:lvlText w:val="%1.%2.%3.%4."/>
      <w:lvlJc w:val="left"/>
      <w:pPr>
        <w:ind w:left="2466" w:hanging="1080"/>
      </w:pPr>
    </w:lvl>
    <w:lvl w:ilvl="4">
      <w:start w:val="1"/>
      <w:numFmt w:val="decimal"/>
      <w:isLgl/>
      <w:lvlText w:val="%1.%2.%3.%4.%5."/>
      <w:lvlJc w:val="left"/>
      <w:pPr>
        <w:ind w:left="2739" w:hanging="1080"/>
      </w:pPr>
    </w:lvl>
    <w:lvl w:ilvl="5">
      <w:start w:val="1"/>
      <w:numFmt w:val="decimal"/>
      <w:isLgl/>
      <w:lvlText w:val="%1.%2.%3.%4.%5.%6."/>
      <w:lvlJc w:val="left"/>
      <w:pPr>
        <w:ind w:left="3372" w:hanging="1440"/>
      </w:pPr>
    </w:lvl>
    <w:lvl w:ilvl="6">
      <w:start w:val="1"/>
      <w:numFmt w:val="decimal"/>
      <w:isLgl/>
      <w:lvlText w:val="%1.%2.%3.%4.%5.%6.%7."/>
      <w:lvlJc w:val="left"/>
      <w:pPr>
        <w:ind w:left="4005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F"/>
    <w:rsid w:val="001A5478"/>
    <w:rsid w:val="002C6EFA"/>
    <w:rsid w:val="00491C79"/>
    <w:rsid w:val="005133AC"/>
    <w:rsid w:val="0059408C"/>
    <w:rsid w:val="005956CC"/>
    <w:rsid w:val="005C3E67"/>
    <w:rsid w:val="006E4308"/>
    <w:rsid w:val="006F5818"/>
    <w:rsid w:val="0074231D"/>
    <w:rsid w:val="0089797A"/>
    <w:rsid w:val="008C50AF"/>
    <w:rsid w:val="00992210"/>
    <w:rsid w:val="00A370C3"/>
    <w:rsid w:val="00B0444F"/>
    <w:rsid w:val="00C748AB"/>
    <w:rsid w:val="00E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4D69"/>
  <w15:chartTrackingRefBased/>
  <w15:docId w15:val="{7562F036-DB52-43E7-8D5B-0B4B1E6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0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0444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44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444F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Zadanifontodlomka"/>
    <w:qFormat/>
    <w:rsid w:val="00B0444F"/>
  </w:style>
  <w:style w:type="paragraph" w:styleId="Bezproreda">
    <w:name w:val="No Spacing"/>
    <w:uiPriority w:val="1"/>
    <w:qFormat/>
    <w:rsid w:val="00B044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74667">
    <w:name w:val="box_474667"/>
    <w:basedOn w:val="Normal"/>
    <w:rsid w:val="00B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04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7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48AB"/>
  </w:style>
  <w:style w:type="paragraph" w:styleId="Podnoje">
    <w:name w:val="footer"/>
    <w:basedOn w:val="Normal"/>
    <w:link w:val="PodnojeChar"/>
    <w:uiPriority w:val="99"/>
    <w:unhideWhenUsed/>
    <w:rsid w:val="00C7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Vrlika</dc:creator>
  <cp:keywords/>
  <dc:description/>
  <cp:lastModifiedBy>Marina Vrlika</cp:lastModifiedBy>
  <cp:revision>7</cp:revision>
  <dcterms:created xsi:type="dcterms:W3CDTF">2025-03-05T12:27:00Z</dcterms:created>
  <dcterms:modified xsi:type="dcterms:W3CDTF">2025-04-03T11:06:00Z</dcterms:modified>
</cp:coreProperties>
</file>